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0A326FA2"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E46963">
          <w:rPr>
            <w:noProof/>
            <w:webHidden/>
          </w:rPr>
          <w:t>4</w:t>
        </w:r>
        <w:r w:rsidR="00DD3144">
          <w:rPr>
            <w:noProof/>
            <w:webHidden/>
          </w:rPr>
          <w:fldChar w:fldCharType="end"/>
        </w:r>
      </w:hyperlink>
    </w:p>
    <w:p w14:paraId="649DCDC2" w14:textId="03E5790B"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E46963">
          <w:rPr>
            <w:noProof/>
            <w:webHidden/>
          </w:rPr>
          <w:t>9</w:t>
        </w:r>
        <w:r>
          <w:rPr>
            <w:noProof/>
            <w:webHidden/>
          </w:rPr>
          <w:fldChar w:fldCharType="end"/>
        </w:r>
      </w:hyperlink>
    </w:p>
    <w:p w14:paraId="14EB7B59" w14:textId="52511B04"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E46963">
          <w:rPr>
            <w:noProof/>
            <w:webHidden/>
          </w:rPr>
          <w:t>9</w:t>
        </w:r>
        <w:r>
          <w:rPr>
            <w:noProof/>
            <w:webHidden/>
          </w:rPr>
          <w:fldChar w:fldCharType="end"/>
        </w:r>
      </w:hyperlink>
    </w:p>
    <w:p w14:paraId="28E7C014" w14:textId="14CCB2E1"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E46963">
          <w:rPr>
            <w:noProof/>
            <w:webHidden/>
          </w:rPr>
          <w:t>14</w:t>
        </w:r>
        <w:r>
          <w:rPr>
            <w:noProof/>
            <w:webHidden/>
          </w:rPr>
          <w:fldChar w:fldCharType="end"/>
        </w:r>
      </w:hyperlink>
    </w:p>
    <w:p w14:paraId="5DC08253" w14:textId="2273FF74"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E46963">
          <w:rPr>
            <w:noProof/>
            <w:webHidden/>
          </w:rPr>
          <w:t>26</w:t>
        </w:r>
        <w:r>
          <w:rPr>
            <w:noProof/>
            <w:webHidden/>
          </w:rPr>
          <w:fldChar w:fldCharType="end"/>
        </w:r>
      </w:hyperlink>
    </w:p>
    <w:p w14:paraId="3D5499CC" w14:textId="618E48A4"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E46963">
          <w:rPr>
            <w:noProof/>
            <w:webHidden/>
          </w:rPr>
          <w:t>28</w:t>
        </w:r>
        <w:r>
          <w:rPr>
            <w:noProof/>
            <w:webHidden/>
          </w:rPr>
          <w:fldChar w:fldCharType="end"/>
        </w:r>
      </w:hyperlink>
    </w:p>
    <w:p w14:paraId="719CF34F" w14:textId="6431BF7A"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E46963">
          <w:rPr>
            <w:noProof/>
            <w:webHidden/>
          </w:rPr>
          <w:t>28</w:t>
        </w:r>
        <w:r>
          <w:rPr>
            <w:noProof/>
            <w:webHidden/>
          </w:rPr>
          <w:fldChar w:fldCharType="end"/>
        </w:r>
      </w:hyperlink>
    </w:p>
    <w:p w14:paraId="2D2F137D" w14:textId="7E65BAB0"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E46963">
          <w:rPr>
            <w:noProof/>
            <w:webHidden/>
          </w:rPr>
          <w:t>33</w:t>
        </w:r>
        <w:r>
          <w:rPr>
            <w:noProof/>
            <w:webHidden/>
          </w:rPr>
          <w:fldChar w:fldCharType="end"/>
        </w:r>
      </w:hyperlink>
    </w:p>
    <w:p w14:paraId="020B6A92" w14:textId="6D2A93C2"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E46963">
          <w:rPr>
            <w:noProof/>
            <w:webHidden/>
          </w:rPr>
          <w:t>33</w:t>
        </w:r>
        <w:r>
          <w:rPr>
            <w:noProof/>
            <w:webHidden/>
          </w:rPr>
          <w:fldChar w:fldCharType="end"/>
        </w:r>
      </w:hyperlink>
    </w:p>
    <w:p w14:paraId="0B041372" w14:textId="08CB0880"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E46963">
          <w:rPr>
            <w:noProof/>
            <w:webHidden/>
          </w:rPr>
          <w:t>34</w:t>
        </w:r>
        <w:r>
          <w:rPr>
            <w:noProof/>
            <w:webHidden/>
          </w:rPr>
          <w:fldChar w:fldCharType="end"/>
        </w:r>
      </w:hyperlink>
    </w:p>
    <w:p w14:paraId="366ABCEE" w14:textId="76392515"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E46963">
          <w:rPr>
            <w:noProof/>
            <w:webHidden/>
          </w:rPr>
          <w:t>37</w:t>
        </w:r>
        <w:r>
          <w:rPr>
            <w:noProof/>
            <w:webHidden/>
          </w:rPr>
          <w:fldChar w:fldCharType="end"/>
        </w:r>
      </w:hyperlink>
    </w:p>
    <w:p w14:paraId="37DECFFE" w14:textId="73C2BA9B"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E46963">
          <w:rPr>
            <w:noProof/>
            <w:webHidden/>
          </w:rPr>
          <w:t>39</w:t>
        </w:r>
        <w:r>
          <w:rPr>
            <w:noProof/>
            <w:webHidden/>
          </w:rPr>
          <w:fldChar w:fldCharType="end"/>
        </w:r>
      </w:hyperlink>
    </w:p>
    <w:p w14:paraId="79DE1026" w14:textId="439D4076"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E46963">
          <w:rPr>
            <w:noProof/>
            <w:webHidden/>
          </w:rPr>
          <w:t>41</w:t>
        </w:r>
        <w:r>
          <w:rPr>
            <w:noProof/>
            <w:webHidden/>
          </w:rPr>
          <w:fldChar w:fldCharType="end"/>
        </w:r>
      </w:hyperlink>
    </w:p>
    <w:p w14:paraId="571E6994" w14:textId="6DBBE730"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E46963">
          <w:rPr>
            <w:noProof/>
            <w:webHidden/>
          </w:rPr>
          <w:t>41</w:t>
        </w:r>
        <w:r>
          <w:rPr>
            <w:noProof/>
            <w:webHidden/>
          </w:rPr>
          <w:fldChar w:fldCharType="end"/>
        </w:r>
      </w:hyperlink>
    </w:p>
    <w:p w14:paraId="44C542A2" w14:textId="2AEBD2A8"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E46963">
          <w:rPr>
            <w:noProof/>
            <w:webHidden/>
          </w:rPr>
          <w:t>46</w:t>
        </w:r>
        <w:r>
          <w:rPr>
            <w:noProof/>
            <w:webHidden/>
          </w:rPr>
          <w:fldChar w:fldCharType="end"/>
        </w:r>
      </w:hyperlink>
    </w:p>
    <w:p w14:paraId="5E9A21F5" w14:textId="13E41CE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E46963">
          <w:rPr>
            <w:noProof/>
            <w:webHidden/>
          </w:rPr>
          <w:t>49</w:t>
        </w:r>
        <w:r>
          <w:rPr>
            <w:noProof/>
            <w:webHidden/>
          </w:rPr>
          <w:fldChar w:fldCharType="end"/>
        </w:r>
      </w:hyperlink>
    </w:p>
    <w:p w14:paraId="5A159D6D" w14:textId="0EEA2C54"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E46963">
          <w:rPr>
            <w:noProof/>
            <w:webHidden/>
          </w:rPr>
          <w:t>50</w:t>
        </w:r>
        <w:r>
          <w:rPr>
            <w:noProof/>
            <w:webHidden/>
          </w:rPr>
          <w:fldChar w:fldCharType="end"/>
        </w:r>
      </w:hyperlink>
    </w:p>
    <w:p w14:paraId="0A454E3F" w14:textId="1FD61B5B"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E46963">
          <w:rPr>
            <w:noProof/>
            <w:webHidden/>
          </w:rPr>
          <w:t>51</w:t>
        </w:r>
        <w:r>
          <w:rPr>
            <w:noProof/>
            <w:webHidden/>
          </w:rPr>
          <w:fldChar w:fldCharType="end"/>
        </w:r>
      </w:hyperlink>
    </w:p>
    <w:p w14:paraId="1FD76CBA" w14:textId="1255AC62"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E46963">
          <w:rPr>
            <w:noProof/>
            <w:webHidden/>
          </w:rPr>
          <w:t>51</w:t>
        </w:r>
        <w:r>
          <w:rPr>
            <w:noProof/>
            <w:webHidden/>
          </w:rPr>
          <w:fldChar w:fldCharType="end"/>
        </w:r>
      </w:hyperlink>
    </w:p>
    <w:p w14:paraId="2672EAFF" w14:textId="016A2C1C"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E46963">
          <w:rPr>
            <w:noProof/>
            <w:webHidden/>
          </w:rPr>
          <w:t>52</w:t>
        </w:r>
        <w:r>
          <w:rPr>
            <w:noProof/>
            <w:webHidden/>
          </w:rPr>
          <w:fldChar w:fldCharType="end"/>
        </w:r>
      </w:hyperlink>
    </w:p>
    <w:p w14:paraId="21AE00CB" w14:textId="448FB572"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E46963">
          <w:rPr>
            <w:noProof/>
            <w:webHidden/>
          </w:rPr>
          <w:t>53</w:t>
        </w:r>
        <w:r>
          <w:rPr>
            <w:noProof/>
            <w:webHidden/>
          </w:rPr>
          <w:fldChar w:fldCharType="end"/>
        </w:r>
      </w:hyperlink>
    </w:p>
    <w:p w14:paraId="2B614284" w14:textId="5CEF75EA"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E46963">
          <w:rPr>
            <w:noProof/>
            <w:webHidden/>
          </w:rPr>
          <w:t>54</w:t>
        </w:r>
        <w:r>
          <w:rPr>
            <w:noProof/>
            <w:webHidden/>
          </w:rPr>
          <w:fldChar w:fldCharType="end"/>
        </w:r>
      </w:hyperlink>
    </w:p>
    <w:p w14:paraId="4D418277" w14:textId="293BA163"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E46963">
          <w:rPr>
            <w:noProof/>
            <w:webHidden/>
          </w:rPr>
          <w:t>57</w:t>
        </w:r>
        <w:r>
          <w:rPr>
            <w:noProof/>
            <w:webHidden/>
          </w:rPr>
          <w:fldChar w:fldCharType="end"/>
        </w:r>
      </w:hyperlink>
    </w:p>
    <w:p w14:paraId="6536F821" w14:textId="1325208E"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E46963">
          <w:rPr>
            <w:noProof/>
            <w:webHidden/>
          </w:rPr>
          <w:t>57</w:t>
        </w:r>
        <w:r>
          <w:rPr>
            <w:noProof/>
            <w:webHidden/>
          </w:rPr>
          <w:fldChar w:fldCharType="end"/>
        </w:r>
      </w:hyperlink>
    </w:p>
    <w:p w14:paraId="08D9EF38" w14:textId="561E5C10"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E46963">
          <w:rPr>
            <w:noProof/>
            <w:webHidden/>
          </w:rPr>
          <w:t>62</w:t>
        </w:r>
        <w:r>
          <w:rPr>
            <w:noProof/>
            <w:webHidden/>
          </w:rPr>
          <w:fldChar w:fldCharType="end"/>
        </w:r>
      </w:hyperlink>
    </w:p>
    <w:p w14:paraId="2BBAFA08" w14:textId="6321856B"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E46963">
          <w:rPr>
            <w:noProof/>
            <w:webHidden/>
          </w:rPr>
          <w:t>63</w:t>
        </w:r>
        <w:r>
          <w:rPr>
            <w:noProof/>
            <w:webHidden/>
          </w:rPr>
          <w:fldChar w:fldCharType="end"/>
        </w:r>
      </w:hyperlink>
    </w:p>
    <w:p w14:paraId="3F16D1B5" w14:textId="10B6FC22"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E46963">
          <w:rPr>
            <w:noProof/>
            <w:webHidden/>
          </w:rPr>
          <w:t>65</w:t>
        </w:r>
        <w:r>
          <w:rPr>
            <w:noProof/>
            <w:webHidden/>
          </w:rPr>
          <w:fldChar w:fldCharType="end"/>
        </w:r>
      </w:hyperlink>
    </w:p>
    <w:p w14:paraId="6977ED8F" w14:textId="51A2647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E46963">
          <w:rPr>
            <w:noProof/>
            <w:webHidden/>
          </w:rPr>
          <w:t>65</w:t>
        </w:r>
        <w:r>
          <w:rPr>
            <w:noProof/>
            <w:webHidden/>
          </w:rPr>
          <w:fldChar w:fldCharType="end"/>
        </w:r>
      </w:hyperlink>
    </w:p>
    <w:p w14:paraId="38E17ADD" w14:textId="49AF876C"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E46963">
          <w:rPr>
            <w:noProof/>
            <w:webHidden/>
          </w:rPr>
          <w:t>69</w:t>
        </w:r>
        <w:r>
          <w:rPr>
            <w:noProof/>
            <w:webHidden/>
          </w:rPr>
          <w:fldChar w:fldCharType="end"/>
        </w:r>
      </w:hyperlink>
    </w:p>
    <w:p w14:paraId="3D334A0D" w14:textId="6FFA9CBA"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E46963">
          <w:rPr>
            <w:noProof/>
            <w:webHidden/>
          </w:rPr>
          <w:t>72</w:t>
        </w:r>
        <w:r>
          <w:rPr>
            <w:noProof/>
            <w:webHidden/>
          </w:rPr>
          <w:fldChar w:fldCharType="end"/>
        </w:r>
      </w:hyperlink>
    </w:p>
    <w:p w14:paraId="73AC9F6C" w14:textId="5A3FB40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E46963">
          <w:rPr>
            <w:noProof/>
            <w:webHidden/>
          </w:rPr>
          <w:t>73</w:t>
        </w:r>
        <w:r>
          <w:rPr>
            <w:noProof/>
            <w:webHidden/>
          </w:rPr>
          <w:fldChar w:fldCharType="end"/>
        </w:r>
      </w:hyperlink>
    </w:p>
    <w:p w14:paraId="406CF61C" w14:textId="300ED972"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E46963">
          <w:rPr>
            <w:noProof/>
            <w:webHidden/>
          </w:rPr>
          <w:t>75</w:t>
        </w:r>
        <w:r>
          <w:rPr>
            <w:noProof/>
            <w:webHidden/>
          </w:rPr>
          <w:fldChar w:fldCharType="end"/>
        </w:r>
      </w:hyperlink>
    </w:p>
    <w:p w14:paraId="2F2A5E06" w14:textId="7E4B0EEC"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E46963">
          <w:rPr>
            <w:noProof/>
            <w:webHidden/>
          </w:rPr>
          <w:t>75</w:t>
        </w:r>
        <w:r>
          <w:rPr>
            <w:noProof/>
            <w:webHidden/>
          </w:rPr>
          <w:fldChar w:fldCharType="end"/>
        </w:r>
      </w:hyperlink>
    </w:p>
    <w:p w14:paraId="0765DB75" w14:textId="2BDAA6B2"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E46963">
          <w:rPr>
            <w:noProof/>
            <w:webHidden/>
          </w:rPr>
          <w:t>80</w:t>
        </w:r>
        <w:r>
          <w:rPr>
            <w:noProof/>
            <w:webHidden/>
          </w:rPr>
          <w:fldChar w:fldCharType="end"/>
        </w:r>
      </w:hyperlink>
    </w:p>
    <w:p w14:paraId="69A0D1B9" w14:textId="0C0A457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E46963">
          <w:rPr>
            <w:noProof/>
            <w:webHidden/>
          </w:rPr>
          <w:t>82</w:t>
        </w:r>
        <w:r>
          <w:rPr>
            <w:noProof/>
            <w:webHidden/>
          </w:rPr>
          <w:fldChar w:fldCharType="end"/>
        </w:r>
      </w:hyperlink>
    </w:p>
    <w:p w14:paraId="599A8537" w14:textId="2E4941E6"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E46963">
          <w:rPr>
            <w:noProof/>
            <w:webHidden/>
          </w:rPr>
          <w:t>84</w:t>
        </w:r>
        <w:r>
          <w:rPr>
            <w:noProof/>
            <w:webHidden/>
          </w:rPr>
          <w:fldChar w:fldCharType="end"/>
        </w:r>
      </w:hyperlink>
    </w:p>
    <w:p w14:paraId="17F5751C" w14:textId="6C82F97C"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E46963">
          <w:rPr>
            <w:noProof/>
            <w:webHidden/>
          </w:rPr>
          <w:t>87</w:t>
        </w:r>
        <w:r>
          <w:rPr>
            <w:noProof/>
            <w:webHidden/>
          </w:rPr>
          <w:fldChar w:fldCharType="end"/>
        </w:r>
      </w:hyperlink>
    </w:p>
    <w:p w14:paraId="3E9A7CC0" w14:textId="4DC5F41F"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E46963">
          <w:rPr>
            <w:noProof/>
            <w:webHidden/>
          </w:rPr>
          <w:t>89</w:t>
        </w:r>
        <w:r>
          <w:rPr>
            <w:noProof/>
            <w:webHidden/>
          </w:rPr>
          <w:fldChar w:fldCharType="end"/>
        </w:r>
      </w:hyperlink>
    </w:p>
    <w:p w14:paraId="47B0B9D3" w14:textId="4CBF1822"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E46963">
          <w:rPr>
            <w:noProof/>
            <w:webHidden/>
          </w:rPr>
          <w:t>91</w:t>
        </w:r>
        <w:r>
          <w:rPr>
            <w:noProof/>
            <w:webHidden/>
          </w:rPr>
          <w:fldChar w:fldCharType="end"/>
        </w:r>
      </w:hyperlink>
    </w:p>
    <w:p w14:paraId="61D5B8F4" w14:textId="57B47D94"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E46963">
          <w:rPr>
            <w:noProof/>
            <w:webHidden/>
          </w:rPr>
          <w:t>91</w:t>
        </w:r>
        <w:r>
          <w:rPr>
            <w:noProof/>
            <w:webHidden/>
          </w:rPr>
          <w:fldChar w:fldCharType="end"/>
        </w:r>
      </w:hyperlink>
    </w:p>
    <w:p w14:paraId="5F2558A8" w14:textId="0A0EFA2C"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E46963">
          <w:rPr>
            <w:noProof/>
            <w:webHidden/>
          </w:rPr>
          <w:t>95</w:t>
        </w:r>
        <w:r>
          <w:rPr>
            <w:noProof/>
            <w:webHidden/>
          </w:rPr>
          <w:fldChar w:fldCharType="end"/>
        </w:r>
      </w:hyperlink>
    </w:p>
    <w:p w14:paraId="36C71413" w14:textId="4B5FE9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E46963">
          <w:rPr>
            <w:noProof/>
            <w:webHidden/>
          </w:rPr>
          <w:t>98</w:t>
        </w:r>
        <w:r>
          <w:rPr>
            <w:noProof/>
            <w:webHidden/>
          </w:rPr>
          <w:fldChar w:fldCharType="end"/>
        </w:r>
      </w:hyperlink>
    </w:p>
    <w:p w14:paraId="0E59FE16" w14:textId="5981B131"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E46963">
          <w:rPr>
            <w:noProof/>
            <w:webHidden/>
          </w:rPr>
          <w:t>99</w:t>
        </w:r>
        <w:r>
          <w:rPr>
            <w:noProof/>
            <w:webHidden/>
          </w:rPr>
          <w:fldChar w:fldCharType="end"/>
        </w:r>
      </w:hyperlink>
    </w:p>
    <w:p w14:paraId="2D755C06" w14:textId="057EB40C"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E46963">
          <w:rPr>
            <w:noProof/>
            <w:webHidden/>
          </w:rPr>
          <w:t>99</w:t>
        </w:r>
        <w:r>
          <w:rPr>
            <w:noProof/>
            <w:webHidden/>
          </w:rPr>
          <w:fldChar w:fldCharType="end"/>
        </w:r>
      </w:hyperlink>
    </w:p>
    <w:p w14:paraId="0A581758" w14:textId="3F598704"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E46963">
          <w:rPr>
            <w:noProof/>
            <w:webHidden/>
          </w:rPr>
          <w:t>107</w:t>
        </w:r>
        <w:r>
          <w:rPr>
            <w:noProof/>
            <w:webHidden/>
          </w:rPr>
          <w:fldChar w:fldCharType="end"/>
        </w:r>
      </w:hyperlink>
    </w:p>
    <w:p w14:paraId="7084312E" w14:textId="7C4ADD31"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E46963">
          <w:rPr>
            <w:noProof/>
            <w:webHidden/>
          </w:rPr>
          <w:t>108</w:t>
        </w:r>
        <w:r>
          <w:rPr>
            <w:noProof/>
            <w:webHidden/>
          </w:rPr>
          <w:fldChar w:fldCharType="end"/>
        </w:r>
      </w:hyperlink>
    </w:p>
    <w:p w14:paraId="1A5FA3FB" w14:textId="34A83E2A"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E46963">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787A25D" w:rsidR="00093CA9" w:rsidRDefault="00BC3D62" w:rsidP="00093CA9">
            <w:r w:rsidRPr="00BC3D62">
              <w:t>Framework for acceptance of Green Deposits (“Green Deposits Framework”)</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5E0E00B3" w14:textId="45D8D943" w:rsidR="003C795A" w:rsidRDefault="00A65F8B" w:rsidP="003C795A">
            <w:pPr>
              <w:pStyle w:val="ListParagraph"/>
              <w:numPr>
                <w:ilvl w:val="0"/>
                <w:numId w:val="54"/>
              </w:numPr>
              <w:jc w:val="both"/>
              <w:rPr>
                <w:rFonts w:ascii="Calibri" w:hAnsi="Calibri" w:cs="Calibri"/>
              </w:rPr>
            </w:pPr>
            <w:hyperlink r:id="rId17" w:history="1">
              <w:r w:rsidR="003C795A" w:rsidRPr="00A65F8B">
                <w:rPr>
                  <w:rStyle w:val="Hyperlink"/>
                </w:rPr>
                <w:t>Framework for acceptance of Green Deposits (“Green Deposits Framework”)</w:t>
              </w:r>
            </w:hyperlink>
          </w:p>
          <w:p w14:paraId="4E3A81D5" w14:textId="6E032A04" w:rsidR="003C795A" w:rsidRDefault="003C795A" w:rsidP="003C795A">
            <w:pPr>
              <w:pStyle w:val="ListParagraph"/>
              <w:numPr>
                <w:ilvl w:val="0"/>
                <w:numId w:val="54"/>
              </w:numPr>
              <w:jc w:val="both"/>
              <w:rPr>
                <w:rFonts w:ascii="Calibri" w:hAnsi="Calibri" w:cs="Calibri"/>
              </w:rPr>
            </w:pPr>
            <w:hyperlink r:id="rId18" w:history="1">
              <w:r w:rsidRPr="007E1737">
                <w:rPr>
                  <w:rStyle w:val="Hyperlink"/>
                  <w:rFonts w:ascii="Calibri" w:hAnsi="Calibri" w:cs="Calibri"/>
                </w:rPr>
                <w:t>Master Direction - Reserve Bank of India (Interest Rate on Deposits) Directions, 2016 for banks</w:t>
              </w:r>
            </w:hyperlink>
            <w:r w:rsidRPr="007E1737">
              <w:rPr>
                <w:rFonts w:ascii="Calibri" w:hAnsi="Calibri" w:cs="Calibri"/>
              </w:rPr>
              <w:t xml:space="preserve"> </w:t>
            </w:r>
          </w:p>
          <w:p w14:paraId="3614AD14" w14:textId="723F9432" w:rsidR="003C795A" w:rsidRPr="007E1737" w:rsidRDefault="003C795A" w:rsidP="003C795A">
            <w:pPr>
              <w:pStyle w:val="ListParagraph"/>
              <w:numPr>
                <w:ilvl w:val="0"/>
                <w:numId w:val="54"/>
              </w:numPr>
              <w:jc w:val="both"/>
              <w:rPr>
                <w:rFonts w:ascii="Calibri" w:hAnsi="Calibri" w:cs="Calibri"/>
              </w:rPr>
            </w:pPr>
            <w:hyperlink r:id="rId19" w:history="1">
              <w:r w:rsidRPr="007E1737">
                <w:rPr>
                  <w:rStyle w:val="Hyperlink"/>
                </w:rPr>
                <w:t>Master Direction - Reserve Bank of India (Interest Rate on Deposits) Directions, 2025</w:t>
              </w:r>
            </w:hyperlink>
          </w:p>
          <w:p w14:paraId="0F669937" w14:textId="742F1BF3" w:rsidR="003C795A" w:rsidRDefault="00F93D8D" w:rsidP="003C795A">
            <w:pPr>
              <w:pStyle w:val="ListParagraph"/>
              <w:numPr>
                <w:ilvl w:val="0"/>
                <w:numId w:val="54"/>
              </w:numPr>
              <w:jc w:val="both"/>
              <w:rPr>
                <w:rFonts w:ascii="Calibri" w:hAnsi="Calibri" w:cs="Calibri"/>
              </w:rPr>
            </w:pPr>
            <w:hyperlink r:id="rId20" w:history="1">
              <w:r w:rsidR="003C795A" w:rsidRPr="007E1737">
                <w:rPr>
                  <w:rStyle w:val="Hyperlink"/>
                  <w:rFonts w:ascii="Calibri" w:hAnsi="Calibri" w:cs="Calibri"/>
                </w:rPr>
                <w:t>Master Direction - Non-Banking Financial Companies Acceptance of Public Deposits (Reserve Bank) Directions, 2016 for NBFCs</w:t>
              </w:r>
            </w:hyperlink>
            <w:r w:rsidR="003C795A" w:rsidRPr="007E1737">
              <w:rPr>
                <w:rFonts w:ascii="Calibri" w:hAnsi="Calibri" w:cs="Calibri"/>
              </w:rPr>
              <w:t xml:space="preserve"> </w:t>
            </w:r>
          </w:p>
          <w:p w14:paraId="43C580D2" w14:textId="77777777" w:rsidR="00093CA9" w:rsidRDefault="003C795A">
            <w:pPr>
              <w:pStyle w:val="ListParagraph"/>
              <w:numPr>
                <w:ilvl w:val="0"/>
                <w:numId w:val="54"/>
              </w:numPr>
              <w:jc w:val="both"/>
              <w:rPr>
                <w:rFonts w:ascii="Calibri" w:hAnsi="Calibri" w:cs="Calibri"/>
              </w:rPr>
            </w:pPr>
            <w:hyperlink r:id="rId21" w:history="1">
              <w:r w:rsidRPr="007E1737">
                <w:rPr>
                  <w:rStyle w:val="Hyperlink"/>
                  <w:rFonts w:ascii="Calibri" w:hAnsi="Calibri" w:cs="Calibri"/>
                </w:rPr>
                <w:t>Master Direction - Non-Banking Financial Company - Housing Finance Company (Reserve Bank) Directions, 2021).</w:t>
              </w:r>
            </w:hyperlink>
          </w:p>
          <w:p w14:paraId="1523C232" w14:textId="181C93E0" w:rsidR="00CC429E" w:rsidRPr="007E1737" w:rsidRDefault="00CC429E" w:rsidP="007E1737">
            <w:pPr>
              <w:pStyle w:val="ListParagraph"/>
              <w:numPr>
                <w:ilvl w:val="0"/>
                <w:numId w:val="54"/>
              </w:numPr>
              <w:jc w:val="both"/>
              <w:rPr>
                <w:rFonts w:ascii="Calibri" w:hAnsi="Calibri" w:cs="Calibri"/>
              </w:rPr>
            </w:pPr>
            <w:hyperlink r:id="rId22" w:history="1">
              <w:r w:rsidRPr="00CC429E">
                <w:rPr>
                  <w:rStyle w:val="Hyperlink"/>
                  <w:rFonts w:ascii="Calibri" w:eastAsia="Times New Roman" w:hAnsi="Calibri" w:cs="Calibri"/>
                  <w:kern w:val="0"/>
                  <w:lang w:eastAsia="en-GB"/>
                  <w14:ligatures w14:val="none"/>
                </w:rPr>
                <w:t>Draft Framework of India’s Climate Finance Taxonomy</w:t>
              </w:r>
            </w:hyperlink>
            <w:r>
              <w:rPr>
                <w:rFonts w:ascii="Calibri" w:eastAsia="Times New Roman" w:hAnsi="Calibri" w:cs="Calibri"/>
                <w:kern w:val="0"/>
                <w:lang w:eastAsia="en-GB"/>
                <w14:ligatures w14:val="none"/>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4415BBB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CF2AAA6" w:rsidR="00093CA9" w:rsidRDefault="00BC3D62"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7683B42" w:rsidR="00093CA9" w:rsidRDefault="008E6729" w:rsidP="007E1737">
            <w:pPr>
              <w:jc w:val="both"/>
            </w:pPr>
            <w:r>
              <w:t>The purpose of this policy tool is to encourage regulated entities to offer green deposits to their customers. This policy</w:t>
            </w:r>
            <w:r w:rsidR="00BC35C7">
              <w:t xml:space="preserve"> tool</w:t>
            </w:r>
            <w:r>
              <w:t xml:space="preserve"> aims to protect the interests of depositors, aid customers in achieving their sustainability agendas, address concerns about greenwashing, and help increase the flow of credit to green activities and projects.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747F859" w:rsidR="00093CA9" w:rsidRDefault="008E672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240EADC" w:rsidR="00093CA9" w:rsidRPr="00173D7C" w:rsidRDefault="008E6729"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BFF45A8" w:rsidR="00093CA9" w:rsidRPr="00173D7C" w:rsidRDefault="008E6729" w:rsidP="00093CA9">
            <w:pPr>
              <w:rPr>
                <w:color w:val="000000" w:themeColor="text1"/>
              </w:rPr>
            </w:pPr>
            <w:r>
              <w:rPr>
                <w:color w:val="000000" w:themeColor="text1"/>
              </w:rPr>
              <w:t>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1A430EC5" w:rsidR="00093CA9" w:rsidRPr="007419BF" w:rsidRDefault="008E6729" w:rsidP="00093CA9">
            <w:pPr>
              <w:rPr>
                <w:color w:val="000000" w:themeColor="text1"/>
              </w:rPr>
            </w:pPr>
            <w:r>
              <w:rPr>
                <w:color w:val="000000" w:themeColor="text1"/>
              </w:rPr>
              <w:t xml:space="preserve">No explicit end date mentioned. </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C8B4F22" w:rsidR="00093CA9" w:rsidRDefault="008E6729" w:rsidP="00093CA9">
            <w:r>
              <w:t>Reserve Bank of India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2B4824F" w:rsidR="00093CA9" w:rsidRPr="006B7B0D" w:rsidRDefault="008E6729" w:rsidP="00093CA9">
            <w:r>
              <w:t>Reserve Bank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F86D895" w:rsidR="00093CA9" w:rsidRPr="006B7B0D" w:rsidRDefault="008E672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81338C0" w:rsidR="00093CA9" w:rsidRDefault="008E672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0DDDF88E" w14:textId="055490BC" w:rsidR="008E6729" w:rsidRDefault="008E6729" w:rsidP="007E1737">
            <w:pPr>
              <w:keepNext/>
              <w:jc w:val="both"/>
              <w:rPr>
                <w:color w:val="000000" w:themeColor="text1"/>
              </w:rPr>
            </w:pPr>
            <w:r>
              <w:rPr>
                <w:color w:val="000000" w:themeColor="text1"/>
              </w:rPr>
              <w:t>Yes, the framework establishes comprehensive monitoring and reporting systems to ensure compliance and transparency.</w:t>
            </w:r>
          </w:p>
          <w:p w14:paraId="6416A38F" w14:textId="7910ED23" w:rsidR="008E6729" w:rsidRDefault="008E6729" w:rsidP="007E1737">
            <w:pPr>
              <w:keepNext/>
              <w:numPr>
                <w:ilvl w:val="0"/>
                <w:numId w:val="49"/>
              </w:numPr>
              <w:jc w:val="both"/>
              <w:rPr>
                <w:color w:val="000000" w:themeColor="text1"/>
              </w:rPr>
            </w:pPr>
            <w:r>
              <w:rPr>
                <w:color w:val="000000" w:themeColor="text1"/>
              </w:rPr>
              <w:t>A copy of the Regulated Entity’s policy on Green Deposits must be published on its website (Paragraph B(4)).</w:t>
            </w:r>
          </w:p>
          <w:p w14:paraId="74707211" w14:textId="6EFAB995" w:rsidR="008E6729" w:rsidRDefault="008E6729" w:rsidP="007E1737">
            <w:pPr>
              <w:keepNext/>
              <w:numPr>
                <w:ilvl w:val="0"/>
                <w:numId w:val="49"/>
              </w:numPr>
              <w:jc w:val="both"/>
              <w:rPr>
                <w:color w:val="000000" w:themeColor="text1"/>
              </w:rPr>
            </w:pPr>
            <w:r>
              <w:rPr>
                <w:color w:val="000000" w:themeColor="text1"/>
              </w:rPr>
              <w:t>The allocation of funds raised through green deposits by Regulated Entities during a financial year shall be subject to an annual independent third-party verification/assurance, which must be published on the Regulated Entity’s website (Paragraph E(8)).</w:t>
            </w:r>
          </w:p>
          <w:p w14:paraId="5E5B4FBD" w14:textId="1DD74EA9" w:rsidR="008E6729" w:rsidRDefault="008E6729" w:rsidP="007E1737">
            <w:pPr>
              <w:keepNext/>
              <w:numPr>
                <w:ilvl w:val="0"/>
                <w:numId w:val="49"/>
              </w:numPr>
              <w:jc w:val="both"/>
              <w:rPr>
                <w:color w:val="000000" w:themeColor="text1"/>
              </w:rPr>
            </w:pPr>
            <w:r>
              <w:rPr>
                <w:color w:val="000000" w:themeColor="text1"/>
              </w:rPr>
              <w:t>With the assistance of external firms, Regulated Entities are required to draft an Impact Assessment report regarding the funds lent for or invested in green finance activities/projects, which must be published on their website (Paragraph E(10)).</w:t>
            </w:r>
          </w:p>
          <w:p w14:paraId="40623FE0" w14:textId="77777777" w:rsidR="00057AA4" w:rsidRDefault="008E6729" w:rsidP="00057AA4">
            <w:pPr>
              <w:keepNext/>
              <w:numPr>
                <w:ilvl w:val="0"/>
                <w:numId w:val="49"/>
              </w:numPr>
              <w:jc w:val="both"/>
              <w:rPr>
                <w:color w:val="000000" w:themeColor="text1"/>
              </w:rPr>
            </w:pPr>
            <w:r>
              <w:rPr>
                <w:color w:val="000000" w:themeColor="text1"/>
              </w:rPr>
              <w:t>Regulated Entities must submit a review report to their Board of Directors within 3 months of the end of the financial year, covering the details mentioned at Paragraph F(11)</w:t>
            </w:r>
          </w:p>
          <w:p w14:paraId="2C2128DB" w14:textId="18062FBE" w:rsidR="008E6729" w:rsidRPr="00057AA4" w:rsidRDefault="008E6729" w:rsidP="007E1737">
            <w:pPr>
              <w:keepNext/>
              <w:numPr>
                <w:ilvl w:val="0"/>
                <w:numId w:val="49"/>
              </w:numPr>
              <w:jc w:val="both"/>
              <w:rPr>
                <w:color w:val="000000" w:themeColor="text1"/>
              </w:rPr>
            </w:pPr>
            <w:r w:rsidRPr="00057AA4">
              <w:rPr>
                <w:color w:val="000000" w:themeColor="text1"/>
              </w:rPr>
              <w:t>Regulated Entities must include appropriate disclosures in their Annual Financial Statements on the portfolio-level information concerning the utilisation of green deposit funds. The proforma for this has been specified in Annex 2 of the policy tool (Paragraph F(12)).</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765"/>
        <w:gridCol w:w="3993"/>
        <w:gridCol w:w="284"/>
        <w:gridCol w:w="141"/>
        <w:gridCol w:w="1792"/>
        <w:gridCol w:w="383"/>
        <w:gridCol w:w="1339"/>
        <w:gridCol w:w="1764"/>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624F62F" w:rsidR="00D4323A" w:rsidRPr="00CF2E7C" w:rsidRDefault="00936CB3"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232929EB" w:rsidR="00D4323A" w:rsidRPr="00CF2E7C" w:rsidRDefault="00936CB3"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6B3F2092" w:rsidR="00D4323A" w:rsidRPr="00CF2E7C" w:rsidRDefault="00936CB3"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FA73628" w:rsidR="00D4323A" w:rsidRPr="00CF2E7C" w:rsidRDefault="00936CB3" w:rsidP="00CF2E7C">
            <w:pPr>
              <w:rPr>
                <w:rFonts w:ascii="Calibri" w:hAnsi="Calibri" w:cs="Calibri"/>
              </w:rPr>
            </w:pPr>
            <w:r>
              <w:rPr>
                <w:rFonts w:ascii="Calibri" w:hAnsi="Calibri" w:cs="Calibri"/>
              </w:rPr>
              <w:t>X</w:t>
            </w:r>
          </w:p>
        </w:tc>
      </w:tr>
      <w:tr w:rsidR="00936CB3" w:rsidRPr="009C4D10" w14:paraId="7E6D8DB7" w14:textId="77777777" w:rsidTr="007E1737">
        <w:trPr>
          <w:trHeight w:val="24"/>
        </w:trPr>
        <w:tc>
          <w:tcPr>
            <w:tcW w:w="1065" w:type="dxa"/>
            <w:vAlign w:val="center"/>
          </w:tcPr>
          <w:p w14:paraId="01559852" w14:textId="4E391D88" w:rsidR="00936CB3" w:rsidRPr="00CF2E7C" w:rsidRDefault="00936CB3" w:rsidP="00936CB3">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936CB3" w:rsidRPr="00CF2E7C" w:rsidRDefault="00936CB3" w:rsidP="00936CB3">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936CB3" w:rsidRPr="00CF2E7C" w:rsidRDefault="00936CB3" w:rsidP="00936CB3">
            <w:pPr>
              <w:rPr>
                <w:rFonts w:ascii="Calibri" w:hAnsi="Calibri" w:cs="Calibri"/>
              </w:rPr>
            </w:pPr>
          </w:p>
        </w:tc>
        <w:tc>
          <w:tcPr>
            <w:tcW w:w="1455" w:type="dxa"/>
            <w:gridSpan w:val="2"/>
            <w:vAlign w:val="center"/>
          </w:tcPr>
          <w:p w14:paraId="6CA5E6D4" w14:textId="77777777" w:rsidR="00936CB3" w:rsidRPr="00CF2E7C" w:rsidRDefault="00936CB3" w:rsidP="00936CB3">
            <w:pPr>
              <w:rPr>
                <w:rFonts w:ascii="Calibri" w:hAnsi="Calibri" w:cs="Calibri"/>
              </w:rPr>
            </w:pPr>
          </w:p>
        </w:tc>
        <w:tc>
          <w:tcPr>
            <w:tcW w:w="1505" w:type="dxa"/>
          </w:tcPr>
          <w:p w14:paraId="3395370C" w14:textId="6A25016D" w:rsidR="00936CB3" w:rsidRPr="00CF2E7C" w:rsidRDefault="00936CB3" w:rsidP="00936CB3">
            <w:pPr>
              <w:rPr>
                <w:rFonts w:ascii="Calibri" w:hAnsi="Calibri" w:cs="Calibri"/>
              </w:rPr>
            </w:pPr>
            <w:r w:rsidRPr="00A03E9C">
              <w:rPr>
                <w:rFonts w:ascii="Calibri" w:hAnsi="Calibri" w:cs="Calibri"/>
              </w:rPr>
              <w:t>X</w:t>
            </w:r>
          </w:p>
        </w:tc>
      </w:tr>
      <w:tr w:rsidR="00936CB3" w:rsidRPr="009C4D10" w14:paraId="79ED0E10" w14:textId="77777777" w:rsidTr="007E1737">
        <w:trPr>
          <w:trHeight w:val="300"/>
        </w:trPr>
        <w:tc>
          <w:tcPr>
            <w:tcW w:w="1065" w:type="dxa"/>
            <w:vAlign w:val="center"/>
          </w:tcPr>
          <w:p w14:paraId="4BE294D3" w14:textId="36E58011" w:rsidR="00936CB3" w:rsidRPr="00CF2E7C" w:rsidRDefault="00936CB3" w:rsidP="00936CB3">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936CB3" w:rsidRPr="00CF2E7C" w:rsidRDefault="00936CB3" w:rsidP="00936CB3">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936CB3" w:rsidRPr="00CF2E7C" w:rsidRDefault="00936CB3" w:rsidP="00936CB3">
            <w:pPr>
              <w:rPr>
                <w:rFonts w:ascii="Calibri" w:hAnsi="Calibri" w:cs="Calibri"/>
              </w:rPr>
            </w:pPr>
          </w:p>
        </w:tc>
        <w:tc>
          <w:tcPr>
            <w:tcW w:w="1455" w:type="dxa"/>
            <w:gridSpan w:val="2"/>
            <w:vAlign w:val="center"/>
          </w:tcPr>
          <w:p w14:paraId="4035B265" w14:textId="77777777" w:rsidR="00936CB3" w:rsidRPr="00CF2E7C" w:rsidRDefault="00936CB3" w:rsidP="00936CB3">
            <w:pPr>
              <w:rPr>
                <w:rFonts w:ascii="Calibri" w:hAnsi="Calibri" w:cs="Calibri"/>
              </w:rPr>
            </w:pPr>
          </w:p>
        </w:tc>
        <w:tc>
          <w:tcPr>
            <w:tcW w:w="1505" w:type="dxa"/>
          </w:tcPr>
          <w:p w14:paraId="6709B18B" w14:textId="28B4A3D1" w:rsidR="00936CB3" w:rsidRPr="00CF2E7C" w:rsidRDefault="00936CB3" w:rsidP="00936CB3">
            <w:pPr>
              <w:rPr>
                <w:rFonts w:ascii="Calibri" w:hAnsi="Calibri" w:cs="Calibri"/>
              </w:rPr>
            </w:pPr>
            <w:r w:rsidRPr="00A03E9C">
              <w:rPr>
                <w:rFonts w:ascii="Calibri" w:hAnsi="Calibri" w:cs="Calibri"/>
              </w:rPr>
              <w:t>X</w:t>
            </w:r>
          </w:p>
        </w:tc>
      </w:tr>
      <w:tr w:rsidR="00936CB3" w:rsidRPr="009C4D10" w14:paraId="6E1F1A41" w14:textId="77777777" w:rsidTr="007E1737">
        <w:trPr>
          <w:trHeight w:val="24"/>
        </w:trPr>
        <w:tc>
          <w:tcPr>
            <w:tcW w:w="1065" w:type="dxa"/>
            <w:vAlign w:val="center"/>
          </w:tcPr>
          <w:p w14:paraId="16418396" w14:textId="4F23F845" w:rsidR="00936CB3" w:rsidRPr="00CF2E7C" w:rsidRDefault="00936CB3" w:rsidP="00936CB3">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936CB3" w:rsidRPr="00CF2E7C" w:rsidRDefault="00936CB3" w:rsidP="00936CB3">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936CB3" w:rsidRPr="00CF2E7C" w:rsidRDefault="00936CB3" w:rsidP="00936CB3">
            <w:pPr>
              <w:rPr>
                <w:rFonts w:ascii="Calibri" w:hAnsi="Calibri" w:cs="Calibri"/>
              </w:rPr>
            </w:pPr>
          </w:p>
        </w:tc>
        <w:tc>
          <w:tcPr>
            <w:tcW w:w="1455" w:type="dxa"/>
            <w:gridSpan w:val="2"/>
            <w:vAlign w:val="center"/>
          </w:tcPr>
          <w:p w14:paraId="22BF6C29" w14:textId="77777777" w:rsidR="00936CB3" w:rsidRPr="00CF2E7C" w:rsidRDefault="00936CB3" w:rsidP="00936CB3">
            <w:pPr>
              <w:rPr>
                <w:rFonts w:ascii="Calibri" w:hAnsi="Calibri" w:cs="Calibri"/>
              </w:rPr>
            </w:pPr>
          </w:p>
        </w:tc>
        <w:tc>
          <w:tcPr>
            <w:tcW w:w="1505" w:type="dxa"/>
          </w:tcPr>
          <w:p w14:paraId="24A5223C" w14:textId="34FD4E03" w:rsidR="00936CB3" w:rsidRPr="00CF2E7C" w:rsidRDefault="00936CB3" w:rsidP="00936CB3">
            <w:pPr>
              <w:rPr>
                <w:rFonts w:ascii="Calibri" w:hAnsi="Calibri" w:cs="Calibri"/>
              </w:rPr>
            </w:pPr>
            <w:r w:rsidRPr="00A03E9C">
              <w:rPr>
                <w:rFonts w:ascii="Calibri" w:hAnsi="Calibri" w:cs="Calibri"/>
              </w:rPr>
              <w:t>X</w:t>
            </w:r>
          </w:p>
        </w:tc>
      </w:tr>
      <w:tr w:rsidR="00936CB3" w:rsidRPr="009C4D10" w14:paraId="719820F8" w14:textId="77777777" w:rsidTr="007E1737">
        <w:trPr>
          <w:trHeight w:val="300"/>
        </w:trPr>
        <w:tc>
          <w:tcPr>
            <w:tcW w:w="1065" w:type="dxa"/>
            <w:vAlign w:val="center"/>
          </w:tcPr>
          <w:p w14:paraId="3A3F343D" w14:textId="5FF435E2" w:rsidR="00936CB3" w:rsidRPr="00CF2E7C" w:rsidRDefault="00936CB3" w:rsidP="00936CB3">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936CB3" w:rsidRPr="00CF2E7C" w:rsidRDefault="00936CB3" w:rsidP="00936CB3">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936CB3" w:rsidRPr="00CF2E7C" w:rsidRDefault="00936CB3" w:rsidP="00936CB3">
            <w:pPr>
              <w:rPr>
                <w:rFonts w:ascii="Calibri" w:hAnsi="Calibri" w:cs="Calibri"/>
              </w:rPr>
            </w:pPr>
          </w:p>
        </w:tc>
        <w:tc>
          <w:tcPr>
            <w:tcW w:w="1455" w:type="dxa"/>
            <w:gridSpan w:val="2"/>
            <w:vAlign w:val="center"/>
          </w:tcPr>
          <w:p w14:paraId="4E9DEEA5" w14:textId="77777777" w:rsidR="00936CB3" w:rsidRPr="00CF2E7C" w:rsidRDefault="00936CB3" w:rsidP="00936CB3">
            <w:pPr>
              <w:rPr>
                <w:rFonts w:ascii="Calibri" w:hAnsi="Calibri" w:cs="Calibri"/>
              </w:rPr>
            </w:pPr>
          </w:p>
        </w:tc>
        <w:tc>
          <w:tcPr>
            <w:tcW w:w="1505" w:type="dxa"/>
          </w:tcPr>
          <w:p w14:paraId="1BD9121A" w14:textId="74A68EB2" w:rsidR="00936CB3" w:rsidRPr="00CF2E7C" w:rsidRDefault="00936CB3" w:rsidP="00936CB3">
            <w:pPr>
              <w:rPr>
                <w:rFonts w:ascii="Calibri" w:hAnsi="Calibri" w:cs="Calibri"/>
              </w:rPr>
            </w:pPr>
            <w:r w:rsidRPr="00A03E9C">
              <w:rPr>
                <w:rFonts w:ascii="Calibri" w:hAnsi="Calibri" w:cs="Calibri"/>
              </w:rPr>
              <w:t>X</w:t>
            </w:r>
          </w:p>
        </w:tc>
      </w:tr>
      <w:tr w:rsidR="00936CB3" w:rsidRPr="009C4D10" w14:paraId="17DAFD7B" w14:textId="77777777" w:rsidTr="007E1737">
        <w:trPr>
          <w:trHeight w:val="300"/>
        </w:trPr>
        <w:tc>
          <w:tcPr>
            <w:tcW w:w="1065" w:type="dxa"/>
            <w:vAlign w:val="center"/>
          </w:tcPr>
          <w:p w14:paraId="7435CCC4" w14:textId="7751F044" w:rsidR="00936CB3" w:rsidRPr="00CF2E7C" w:rsidRDefault="00936CB3" w:rsidP="00936CB3">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936CB3" w:rsidRPr="00CF2E7C" w:rsidRDefault="00936CB3" w:rsidP="00936CB3">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936CB3" w:rsidRPr="00CF2E7C" w:rsidRDefault="00936CB3" w:rsidP="00936CB3">
            <w:pPr>
              <w:rPr>
                <w:rFonts w:ascii="Calibri" w:hAnsi="Calibri" w:cs="Calibri"/>
              </w:rPr>
            </w:pPr>
          </w:p>
        </w:tc>
        <w:tc>
          <w:tcPr>
            <w:tcW w:w="1455" w:type="dxa"/>
            <w:gridSpan w:val="2"/>
            <w:vAlign w:val="center"/>
          </w:tcPr>
          <w:p w14:paraId="5AC2C5A5" w14:textId="77777777" w:rsidR="00936CB3" w:rsidRPr="00CF2E7C" w:rsidRDefault="00936CB3" w:rsidP="00936CB3">
            <w:pPr>
              <w:rPr>
                <w:rFonts w:ascii="Calibri" w:hAnsi="Calibri" w:cs="Calibri"/>
              </w:rPr>
            </w:pPr>
          </w:p>
        </w:tc>
        <w:tc>
          <w:tcPr>
            <w:tcW w:w="1505" w:type="dxa"/>
          </w:tcPr>
          <w:p w14:paraId="7D2537CF" w14:textId="34BD390D" w:rsidR="00936CB3" w:rsidRPr="00CF2E7C" w:rsidRDefault="00936CB3" w:rsidP="00936CB3">
            <w:pPr>
              <w:rPr>
                <w:rFonts w:ascii="Calibri" w:hAnsi="Calibri" w:cs="Calibri"/>
              </w:rPr>
            </w:pPr>
            <w:r w:rsidRPr="00A03E9C">
              <w:rPr>
                <w:rFonts w:ascii="Calibri" w:hAnsi="Calibri" w:cs="Calibri"/>
              </w:rPr>
              <w:t>X</w:t>
            </w:r>
          </w:p>
        </w:tc>
      </w:tr>
      <w:tr w:rsidR="00936CB3" w:rsidRPr="009C4D10" w14:paraId="79E37C47" w14:textId="77777777" w:rsidTr="007E1737">
        <w:trPr>
          <w:trHeight w:val="300"/>
        </w:trPr>
        <w:tc>
          <w:tcPr>
            <w:tcW w:w="1065" w:type="dxa"/>
            <w:vAlign w:val="center"/>
          </w:tcPr>
          <w:p w14:paraId="473B2622" w14:textId="38397B39" w:rsidR="00936CB3" w:rsidRPr="00CF2E7C" w:rsidRDefault="00936CB3" w:rsidP="00936CB3">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936CB3" w:rsidRPr="00CF2E7C" w:rsidRDefault="00936CB3" w:rsidP="00936CB3">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936CB3" w:rsidRPr="00CF2E7C" w:rsidRDefault="00936CB3" w:rsidP="00936CB3">
            <w:pPr>
              <w:rPr>
                <w:rFonts w:ascii="Calibri" w:hAnsi="Calibri" w:cs="Calibri"/>
              </w:rPr>
            </w:pPr>
          </w:p>
        </w:tc>
        <w:tc>
          <w:tcPr>
            <w:tcW w:w="1455" w:type="dxa"/>
            <w:gridSpan w:val="2"/>
            <w:vAlign w:val="center"/>
          </w:tcPr>
          <w:p w14:paraId="1D284466" w14:textId="77777777" w:rsidR="00936CB3" w:rsidRPr="00CF2E7C" w:rsidRDefault="00936CB3" w:rsidP="00936CB3">
            <w:pPr>
              <w:rPr>
                <w:rFonts w:ascii="Calibri" w:hAnsi="Calibri" w:cs="Calibri"/>
              </w:rPr>
            </w:pPr>
          </w:p>
        </w:tc>
        <w:tc>
          <w:tcPr>
            <w:tcW w:w="1505" w:type="dxa"/>
          </w:tcPr>
          <w:p w14:paraId="2CD4C703" w14:textId="5A428143" w:rsidR="00936CB3" w:rsidRPr="00CF2E7C" w:rsidRDefault="00936CB3" w:rsidP="00936CB3">
            <w:pPr>
              <w:rPr>
                <w:rFonts w:ascii="Calibri" w:hAnsi="Calibri" w:cs="Calibri"/>
              </w:rPr>
            </w:pPr>
            <w:r w:rsidRPr="00A03E9C">
              <w:rPr>
                <w:rFonts w:ascii="Calibri" w:hAnsi="Calibri" w:cs="Calibri"/>
              </w:rPr>
              <w:t>X</w:t>
            </w:r>
          </w:p>
        </w:tc>
      </w:tr>
      <w:tr w:rsidR="00936CB3" w:rsidRPr="009C4D10" w14:paraId="32DC1CDD" w14:textId="77777777" w:rsidTr="007E1737">
        <w:trPr>
          <w:trHeight w:val="300"/>
        </w:trPr>
        <w:tc>
          <w:tcPr>
            <w:tcW w:w="1065" w:type="dxa"/>
            <w:vAlign w:val="center"/>
          </w:tcPr>
          <w:p w14:paraId="2723A6DB" w14:textId="67A7AD21" w:rsidR="00936CB3" w:rsidRPr="00CF2E7C" w:rsidRDefault="00936CB3" w:rsidP="00936CB3">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936CB3" w:rsidRPr="00CF2E7C" w:rsidRDefault="00936CB3" w:rsidP="00936CB3">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936CB3" w:rsidRPr="00CF2E7C" w:rsidRDefault="00936CB3" w:rsidP="00936CB3">
            <w:pPr>
              <w:rPr>
                <w:rFonts w:ascii="Calibri" w:hAnsi="Calibri" w:cs="Calibri"/>
              </w:rPr>
            </w:pPr>
          </w:p>
        </w:tc>
        <w:tc>
          <w:tcPr>
            <w:tcW w:w="1455" w:type="dxa"/>
            <w:gridSpan w:val="2"/>
            <w:vAlign w:val="center"/>
          </w:tcPr>
          <w:p w14:paraId="5A7414BC" w14:textId="77777777" w:rsidR="00936CB3" w:rsidRPr="00CF2E7C" w:rsidRDefault="00936CB3" w:rsidP="00936CB3">
            <w:pPr>
              <w:rPr>
                <w:rFonts w:ascii="Calibri" w:hAnsi="Calibri" w:cs="Calibri"/>
              </w:rPr>
            </w:pPr>
          </w:p>
        </w:tc>
        <w:tc>
          <w:tcPr>
            <w:tcW w:w="1505" w:type="dxa"/>
          </w:tcPr>
          <w:p w14:paraId="324C4411" w14:textId="4465C380" w:rsidR="00936CB3" w:rsidRPr="00CF2E7C" w:rsidRDefault="00936CB3" w:rsidP="00936CB3">
            <w:pPr>
              <w:rPr>
                <w:rFonts w:ascii="Calibri" w:hAnsi="Calibri" w:cs="Calibri"/>
              </w:rPr>
            </w:pPr>
            <w:r w:rsidRPr="00A03E9C">
              <w:rPr>
                <w:rFonts w:ascii="Calibri" w:hAnsi="Calibri" w:cs="Calibri"/>
              </w:rPr>
              <w:t>X</w:t>
            </w:r>
          </w:p>
        </w:tc>
      </w:tr>
      <w:tr w:rsidR="00936CB3" w:rsidRPr="009C4D10" w14:paraId="719D5881" w14:textId="77777777" w:rsidTr="007E1737">
        <w:trPr>
          <w:trHeight w:val="24"/>
        </w:trPr>
        <w:tc>
          <w:tcPr>
            <w:tcW w:w="1065" w:type="dxa"/>
            <w:vAlign w:val="center"/>
          </w:tcPr>
          <w:p w14:paraId="414C1836" w14:textId="32974EF8" w:rsidR="00936CB3" w:rsidRPr="00CF2E7C" w:rsidRDefault="00936CB3" w:rsidP="00936CB3">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936CB3" w:rsidRPr="00CF2E7C" w:rsidRDefault="00936CB3" w:rsidP="00936CB3">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936CB3" w:rsidRPr="00CF2E7C" w:rsidRDefault="00936CB3" w:rsidP="00936CB3">
            <w:pPr>
              <w:rPr>
                <w:rFonts w:ascii="Calibri" w:hAnsi="Calibri" w:cs="Calibri"/>
              </w:rPr>
            </w:pPr>
          </w:p>
        </w:tc>
        <w:tc>
          <w:tcPr>
            <w:tcW w:w="1455" w:type="dxa"/>
            <w:gridSpan w:val="2"/>
            <w:vAlign w:val="center"/>
          </w:tcPr>
          <w:p w14:paraId="52DD1FFC" w14:textId="77777777" w:rsidR="00936CB3" w:rsidRPr="00CF2E7C" w:rsidRDefault="00936CB3" w:rsidP="00936CB3">
            <w:pPr>
              <w:rPr>
                <w:rFonts w:ascii="Calibri" w:hAnsi="Calibri" w:cs="Calibri"/>
              </w:rPr>
            </w:pPr>
          </w:p>
        </w:tc>
        <w:tc>
          <w:tcPr>
            <w:tcW w:w="1505" w:type="dxa"/>
          </w:tcPr>
          <w:p w14:paraId="0820E928" w14:textId="0F09EF61" w:rsidR="00936CB3" w:rsidRPr="00CF2E7C" w:rsidRDefault="00936CB3" w:rsidP="00936CB3">
            <w:pPr>
              <w:rPr>
                <w:rFonts w:ascii="Calibri" w:hAnsi="Calibri" w:cs="Calibri"/>
              </w:rPr>
            </w:pPr>
            <w:r w:rsidRPr="00A03E9C">
              <w:rPr>
                <w:rFonts w:ascii="Calibri" w:hAnsi="Calibri" w:cs="Calibri"/>
              </w:rPr>
              <w:t>X</w:t>
            </w:r>
          </w:p>
        </w:tc>
      </w:tr>
      <w:tr w:rsidR="00936CB3" w:rsidRPr="009C4D10" w14:paraId="048B2A89" w14:textId="77777777" w:rsidTr="007E1737">
        <w:trPr>
          <w:trHeight w:val="24"/>
        </w:trPr>
        <w:tc>
          <w:tcPr>
            <w:tcW w:w="1065" w:type="dxa"/>
            <w:vAlign w:val="center"/>
          </w:tcPr>
          <w:p w14:paraId="3C5936D0" w14:textId="05729924" w:rsidR="00936CB3" w:rsidRPr="00CF2E7C" w:rsidRDefault="00936CB3" w:rsidP="00936CB3">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936CB3" w:rsidRPr="00CF2E7C" w:rsidRDefault="00936CB3" w:rsidP="00936CB3">
            <w:pPr>
              <w:rPr>
                <w:rFonts w:ascii="Calibri" w:hAnsi="Calibri" w:cs="Calibri"/>
              </w:rPr>
            </w:pPr>
            <w:r w:rsidRPr="00CF2E7C">
              <w:rPr>
                <w:rFonts w:ascii="Calibri" w:hAnsi="Calibri" w:cs="Calibri"/>
              </w:rPr>
              <w:t>Other</w:t>
            </w:r>
          </w:p>
        </w:tc>
        <w:tc>
          <w:tcPr>
            <w:tcW w:w="1456" w:type="dxa"/>
            <w:vAlign w:val="center"/>
          </w:tcPr>
          <w:p w14:paraId="0AD5C2B3" w14:textId="77777777" w:rsidR="00936CB3" w:rsidRPr="00CF2E7C" w:rsidRDefault="00936CB3" w:rsidP="00936CB3">
            <w:pPr>
              <w:rPr>
                <w:rFonts w:ascii="Calibri" w:hAnsi="Calibri" w:cs="Calibri"/>
              </w:rPr>
            </w:pPr>
          </w:p>
        </w:tc>
        <w:tc>
          <w:tcPr>
            <w:tcW w:w="1455" w:type="dxa"/>
            <w:gridSpan w:val="2"/>
            <w:vAlign w:val="center"/>
          </w:tcPr>
          <w:p w14:paraId="459AF8B6" w14:textId="77777777" w:rsidR="00936CB3" w:rsidRPr="00CF2E7C" w:rsidRDefault="00936CB3" w:rsidP="00936CB3">
            <w:pPr>
              <w:rPr>
                <w:rFonts w:ascii="Calibri" w:hAnsi="Calibri" w:cs="Calibri"/>
              </w:rPr>
            </w:pPr>
          </w:p>
        </w:tc>
        <w:tc>
          <w:tcPr>
            <w:tcW w:w="1505" w:type="dxa"/>
          </w:tcPr>
          <w:p w14:paraId="654433FC" w14:textId="0B31029B" w:rsidR="00936CB3" w:rsidRPr="00CF2E7C" w:rsidRDefault="00936CB3" w:rsidP="00936CB3">
            <w:pPr>
              <w:rPr>
                <w:rFonts w:ascii="Calibri" w:hAnsi="Calibri" w:cs="Calibri"/>
              </w:rPr>
            </w:pPr>
            <w:r w:rsidRPr="00A03E9C">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lastRenderedPageBreak/>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C0251AD" w:rsidR="00DD292A" w:rsidRPr="00CF2E7C" w:rsidRDefault="00936CB3"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6461AF3F" w:rsidR="00DD292A" w:rsidRPr="00CF2E7C" w:rsidRDefault="00936CB3"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AE9517E" w:rsidR="00DD292A" w:rsidRPr="00CF2E7C" w:rsidRDefault="00C60438"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1DC3A648" w:rsidR="00DD292A" w:rsidRPr="00CF2E7C" w:rsidRDefault="00C60438"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3A16101F" w:rsidR="00DD292A" w:rsidRPr="00CF2E7C" w:rsidRDefault="00C60438"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52FE9704" w:rsidR="00DD292A" w:rsidRPr="00CF2E7C" w:rsidRDefault="00C60438"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45A85ECA" w:rsidR="00DD292A" w:rsidRPr="00CF2E7C" w:rsidRDefault="009935B3" w:rsidP="00CF2E7C">
            <w:pPr>
              <w:rPr>
                <w:rFonts w:ascii="Calibri" w:hAnsi="Calibri" w:cs="Calibri"/>
              </w:rPr>
            </w:pPr>
            <w:r>
              <w:rPr>
                <w:rFonts w:ascii="Calibri" w:hAnsi="Calibri" w:cs="Calibri"/>
              </w:rPr>
              <w:t>X</w:t>
            </w:r>
          </w:p>
        </w:tc>
      </w:tr>
      <w:tr w:rsidR="009935B3" w:rsidRPr="009C4D10" w14:paraId="3C446894" w14:textId="77777777" w:rsidTr="007E1737">
        <w:trPr>
          <w:trHeight w:val="22"/>
        </w:trPr>
        <w:tc>
          <w:tcPr>
            <w:tcW w:w="1065" w:type="dxa"/>
            <w:vAlign w:val="center"/>
          </w:tcPr>
          <w:p w14:paraId="0FBC1673" w14:textId="239277CB" w:rsidR="009935B3" w:rsidRPr="00CF2E7C" w:rsidRDefault="009935B3" w:rsidP="009935B3">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9935B3" w:rsidRPr="00CF2E7C" w:rsidRDefault="009935B3" w:rsidP="009935B3">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9935B3" w:rsidRPr="00CF2E7C" w:rsidRDefault="009935B3" w:rsidP="009935B3">
            <w:pPr>
              <w:rPr>
                <w:rFonts w:ascii="Calibri" w:hAnsi="Calibri" w:cs="Calibri"/>
              </w:rPr>
            </w:pPr>
          </w:p>
        </w:tc>
        <w:tc>
          <w:tcPr>
            <w:tcW w:w="1455" w:type="dxa"/>
            <w:gridSpan w:val="2"/>
            <w:vAlign w:val="center"/>
          </w:tcPr>
          <w:p w14:paraId="7C064F97" w14:textId="77777777" w:rsidR="009935B3" w:rsidRPr="00CF2E7C" w:rsidRDefault="009935B3" w:rsidP="009935B3">
            <w:pPr>
              <w:rPr>
                <w:rFonts w:ascii="Calibri" w:hAnsi="Calibri" w:cs="Calibri"/>
              </w:rPr>
            </w:pPr>
          </w:p>
        </w:tc>
        <w:tc>
          <w:tcPr>
            <w:tcW w:w="1505" w:type="dxa"/>
          </w:tcPr>
          <w:p w14:paraId="19285B54" w14:textId="37D3952B" w:rsidR="009935B3" w:rsidRPr="00CF2E7C" w:rsidRDefault="009935B3" w:rsidP="009935B3">
            <w:pPr>
              <w:rPr>
                <w:rFonts w:ascii="Calibri" w:hAnsi="Calibri" w:cs="Calibri"/>
              </w:rPr>
            </w:pPr>
            <w:r w:rsidRPr="00CC3030">
              <w:rPr>
                <w:rFonts w:ascii="Calibri" w:hAnsi="Calibri" w:cs="Calibri"/>
              </w:rPr>
              <w:t>X</w:t>
            </w:r>
          </w:p>
        </w:tc>
      </w:tr>
      <w:tr w:rsidR="009935B3" w:rsidRPr="009C4D10" w14:paraId="3BA0392E" w14:textId="77777777" w:rsidTr="007E1737">
        <w:trPr>
          <w:trHeight w:val="22"/>
        </w:trPr>
        <w:tc>
          <w:tcPr>
            <w:tcW w:w="1065" w:type="dxa"/>
            <w:vAlign w:val="center"/>
          </w:tcPr>
          <w:p w14:paraId="276CBF0C" w14:textId="3E668692" w:rsidR="009935B3" w:rsidRPr="00CF2E7C" w:rsidRDefault="009935B3" w:rsidP="009935B3">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9935B3" w:rsidRPr="00CF2E7C" w:rsidRDefault="009935B3" w:rsidP="009935B3">
            <w:pPr>
              <w:rPr>
                <w:rFonts w:ascii="Calibri" w:hAnsi="Calibri" w:cs="Calibri"/>
              </w:rPr>
            </w:pPr>
            <w:r w:rsidRPr="00CF2E7C">
              <w:rPr>
                <w:rFonts w:ascii="Calibri" w:hAnsi="Calibri" w:cs="Calibri"/>
              </w:rPr>
              <w:t>Manufacturing</w:t>
            </w:r>
          </w:p>
        </w:tc>
        <w:tc>
          <w:tcPr>
            <w:tcW w:w="1456" w:type="dxa"/>
            <w:vAlign w:val="center"/>
          </w:tcPr>
          <w:p w14:paraId="586492BC" w14:textId="77777777" w:rsidR="009935B3" w:rsidRPr="00CF2E7C" w:rsidRDefault="009935B3" w:rsidP="009935B3">
            <w:pPr>
              <w:rPr>
                <w:rFonts w:ascii="Calibri" w:hAnsi="Calibri" w:cs="Calibri"/>
              </w:rPr>
            </w:pPr>
          </w:p>
        </w:tc>
        <w:tc>
          <w:tcPr>
            <w:tcW w:w="1455" w:type="dxa"/>
            <w:gridSpan w:val="2"/>
            <w:vAlign w:val="center"/>
          </w:tcPr>
          <w:p w14:paraId="255E24D1" w14:textId="77777777" w:rsidR="009935B3" w:rsidRPr="00CF2E7C" w:rsidRDefault="009935B3" w:rsidP="009935B3">
            <w:pPr>
              <w:rPr>
                <w:rFonts w:ascii="Calibri" w:hAnsi="Calibri" w:cs="Calibri"/>
              </w:rPr>
            </w:pPr>
          </w:p>
        </w:tc>
        <w:tc>
          <w:tcPr>
            <w:tcW w:w="1505" w:type="dxa"/>
          </w:tcPr>
          <w:p w14:paraId="27B73CB2" w14:textId="4B0E6125" w:rsidR="009935B3" w:rsidRPr="00CF2E7C" w:rsidRDefault="009935B3" w:rsidP="009935B3">
            <w:pPr>
              <w:rPr>
                <w:rFonts w:ascii="Calibri" w:hAnsi="Calibri" w:cs="Calibri"/>
              </w:rPr>
            </w:pPr>
            <w:r w:rsidRPr="00CC3030">
              <w:rPr>
                <w:rFonts w:ascii="Calibri" w:hAnsi="Calibri" w:cs="Calibri"/>
              </w:rPr>
              <w:t>X</w:t>
            </w:r>
          </w:p>
        </w:tc>
      </w:tr>
      <w:tr w:rsidR="009935B3" w:rsidRPr="009C4D10" w14:paraId="45B2E64A" w14:textId="77777777" w:rsidTr="007E1737">
        <w:trPr>
          <w:trHeight w:val="22"/>
        </w:trPr>
        <w:tc>
          <w:tcPr>
            <w:tcW w:w="1065" w:type="dxa"/>
            <w:vAlign w:val="center"/>
          </w:tcPr>
          <w:p w14:paraId="0CBE5C40" w14:textId="32B1633E" w:rsidR="009935B3" w:rsidRPr="00CF2E7C" w:rsidRDefault="009935B3" w:rsidP="009935B3">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9935B3" w:rsidRPr="00CF2E7C" w:rsidRDefault="009935B3" w:rsidP="009935B3">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9935B3" w:rsidRPr="00CF2E7C" w:rsidRDefault="009935B3" w:rsidP="009935B3">
            <w:pPr>
              <w:rPr>
                <w:rFonts w:ascii="Calibri" w:hAnsi="Calibri" w:cs="Calibri"/>
              </w:rPr>
            </w:pPr>
          </w:p>
        </w:tc>
        <w:tc>
          <w:tcPr>
            <w:tcW w:w="1455" w:type="dxa"/>
            <w:gridSpan w:val="2"/>
            <w:vAlign w:val="center"/>
          </w:tcPr>
          <w:p w14:paraId="37AD3672" w14:textId="77777777" w:rsidR="009935B3" w:rsidRPr="00CF2E7C" w:rsidRDefault="009935B3" w:rsidP="009935B3">
            <w:pPr>
              <w:rPr>
                <w:rFonts w:ascii="Calibri" w:hAnsi="Calibri" w:cs="Calibri"/>
              </w:rPr>
            </w:pPr>
          </w:p>
        </w:tc>
        <w:tc>
          <w:tcPr>
            <w:tcW w:w="1505" w:type="dxa"/>
          </w:tcPr>
          <w:p w14:paraId="0B0E7BE0" w14:textId="01B1B012" w:rsidR="009935B3" w:rsidRPr="00CF2E7C" w:rsidRDefault="009935B3" w:rsidP="009935B3">
            <w:pPr>
              <w:rPr>
                <w:rFonts w:ascii="Calibri" w:hAnsi="Calibri" w:cs="Calibri"/>
              </w:rPr>
            </w:pPr>
            <w:r w:rsidRPr="00CC3030">
              <w:rPr>
                <w:rFonts w:ascii="Calibri" w:hAnsi="Calibri" w:cs="Calibri"/>
              </w:rPr>
              <w:t>X</w:t>
            </w:r>
          </w:p>
        </w:tc>
      </w:tr>
      <w:tr w:rsidR="009935B3" w:rsidRPr="009C4D10" w14:paraId="43041C94" w14:textId="77777777" w:rsidTr="007E1737">
        <w:trPr>
          <w:trHeight w:val="22"/>
        </w:trPr>
        <w:tc>
          <w:tcPr>
            <w:tcW w:w="1065" w:type="dxa"/>
            <w:vAlign w:val="center"/>
          </w:tcPr>
          <w:p w14:paraId="7B397B46" w14:textId="1F2D7FE1" w:rsidR="009935B3" w:rsidRPr="00CF2E7C" w:rsidRDefault="009935B3" w:rsidP="009935B3">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9935B3" w:rsidRPr="00CF2E7C" w:rsidRDefault="009935B3" w:rsidP="009935B3">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9935B3" w:rsidRPr="00CF2E7C" w:rsidRDefault="009935B3" w:rsidP="009935B3">
            <w:pPr>
              <w:rPr>
                <w:rFonts w:ascii="Calibri" w:hAnsi="Calibri" w:cs="Calibri"/>
              </w:rPr>
            </w:pPr>
          </w:p>
        </w:tc>
        <w:tc>
          <w:tcPr>
            <w:tcW w:w="1455" w:type="dxa"/>
            <w:gridSpan w:val="2"/>
            <w:vAlign w:val="center"/>
          </w:tcPr>
          <w:p w14:paraId="3011D3E3" w14:textId="77777777" w:rsidR="009935B3" w:rsidRPr="00CF2E7C" w:rsidRDefault="009935B3" w:rsidP="009935B3">
            <w:pPr>
              <w:rPr>
                <w:rFonts w:ascii="Calibri" w:hAnsi="Calibri" w:cs="Calibri"/>
              </w:rPr>
            </w:pPr>
          </w:p>
        </w:tc>
        <w:tc>
          <w:tcPr>
            <w:tcW w:w="1505" w:type="dxa"/>
          </w:tcPr>
          <w:p w14:paraId="36FA7FC3" w14:textId="18BC5E09" w:rsidR="009935B3" w:rsidRPr="00CF2E7C" w:rsidRDefault="009935B3" w:rsidP="009935B3">
            <w:pPr>
              <w:rPr>
                <w:rFonts w:ascii="Calibri" w:hAnsi="Calibri" w:cs="Calibri"/>
              </w:rPr>
            </w:pPr>
            <w:r w:rsidRPr="00CC3030">
              <w:rPr>
                <w:rFonts w:ascii="Calibri" w:hAnsi="Calibri" w:cs="Calibri"/>
              </w:rPr>
              <w:t>X</w:t>
            </w:r>
          </w:p>
        </w:tc>
      </w:tr>
      <w:tr w:rsidR="009935B3" w:rsidRPr="009C4D10" w14:paraId="1E18327F" w14:textId="77777777" w:rsidTr="007E1737">
        <w:trPr>
          <w:trHeight w:val="22"/>
        </w:trPr>
        <w:tc>
          <w:tcPr>
            <w:tcW w:w="1065" w:type="dxa"/>
            <w:vAlign w:val="center"/>
          </w:tcPr>
          <w:p w14:paraId="0FC93136" w14:textId="655F81EE" w:rsidR="009935B3" w:rsidRPr="00CF2E7C" w:rsidRDefault="009935B3" w:rsidP="009935B3">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9935B3" w:rsidRPr="00CF2E7C" w:rsidRDefault="009935B3" w:rsidP="009935B3">
            <w:pPr>
              <w:rPr>
                <w:rFonts w:ascii="Calibri" w:hAnsi="Calibri" w:cs="Calibri"/>
              </w:rPr>
            </w:pPr>
            <w:r w:rsidRPr="00CF2E7C">
              <w:rPr>
                <w:rFonts w:ascii="Calibri" w:hAnsi="Calibri" w:cs="Calibri"/>
              </w:rPr>
              <w:t>Construction</w:t>
            </w:r>
          </w:p>
        </w:tc>
        <w:tc>
          <w:tcPr>
            <w:tcW w:w="1456" w:type="dxa"/>
            <w:vAlign w:val="center"/>
          </w:tcPr>
          <w:p w14:paraId="04BF4413" w14:textId="77777777" w:rsidR="009935B3" w:rsidRPr="00CF2E7C" w:rsidRDefault="009935B3" w:rsidP="009935B3">
            <w:pPr>
              <w:rPr>
                <w:rFonts w:ascii="Calibri" w:hAnsi="Calibri" w:cs="Calibri"/>
              </w:rPr>
            </w:pPr>
          </w:p>
        </w:tc>
        <w:tc>
          <w:tcPr>
            <w:tcW w:w="1455" w:type="dxa"/>
            <w:gridSpan w:val="2"/>
            <w:vAlign w:val="center"/>
          </w:tcPr>
          <w:p w14:paraId="38A34F24" w14:textId="77777777" w:rsidR="009935B3" w:rsidRPr="00CF2E7C" w:rsidRDefault="009935B3" w:rsidP="009935B3">
            <w:pPr>
              <w:rPr>
                <w:rFonts w:ascii="Calibri" w:hAnsi="Calibri" w:cs="Calibri"/>
              </w:rPr>
            </w:pPr>
          </w:p>
        </w:tc>
        <w:tc>
          <w:tcPr>
            <w:tcW w:w="1505" w:type="dxa"/>
          </w:tcPr>
          <w:p w14:paraId="6C1FE16E" w14:textId="0D703B4B" w:rsidR="009935B3" w:rsidRPr="00CF2E7C" w:rsidRDefault="009935B3" w:rsidP="009935B3">
            <w:pPr>
              <w:rPr>
                <w:rFonts w:ascii="Calibri" w:hAnsi="Calibri" w:cs="Calibri"/>
              </w:rPr>
            </w:pPr>
            <w:r w:rsidRPr="00CC3030">
              <w:rPr>
                <w:rFonts w:ascii="Calibri" w:hAnsi="Calibri" w:cs="Calibri"/>
              </w:rPr>
              <w:t>X</w:t>
            </w:r>
          </w:p>
        </w:tc>
      </w:tr>
      <w:tr w:rsidR="009935B3" w:rsidRPr="009C4D10" w14:paraId="2A50DF4E" w14:textId="77777777" w:rsidTr="007E1737">
        <w:trPr>
          <w:trHeight w:val="300"/>
        </w:trPr>
        <w:tc>
          <w:tcPr>
            <w:tcW w:w="1065" w:type="dxa"/>
            <w:vAlign w:val="center"/>
          </w:tcPr>
          <w:p w14:paraId="2155FD97" w14:textId="2EE2EAAC" w:rsidR="009935B3" w:rsidRPr="00CF2E7C" w:rsidRDefault="009935B3" w:rsidP="009935B3">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9935B3" w:rsidRPr="00CF2E7C" w:rsidRDefault="009935B3" w:rsidP="009935B3">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9935B3" w:rsidRPr="00CF2E7C" w:rsidRDefault="009935B3" w:rsidP="009935B3">
            <w:pPr>
              <w:rPr>
                <w:rFonts w:ascii="Calibri" w:hAnsi="Calibri" w:cs="Calibri"/>
              </w:rPr>
            </w:pPr>
          </w:p>
        </w:tc>
        <w:tc>
          <w:tcPr>
            <w:tcW w:w="1455" w:type="dxa"/>
            <w:gridSpan w:val="2"/>
            <w:vAlign w:val="center"/>
          </w:tcPr>
          <w:p w14:paraId="5408A0A0" w14:textId="77777777" w:rsidR="009935B3" w:rsidRPr="00CF2E7C" w:rsidRDefault="009935B3" w:rsidP="009935B3">
            <w:pPr>
              <w:rPr>
                <w:rFonts w:ascii="Calibri" w:hAnsi="Calibri" w:cs="Calibri"/>
              </w:rPr>
            </w:pPr>
          </w:p>
        </w:tc>
        <w:tc>
          <w:tcPr>
            <w:tcW w:w="1505" w:type="dxa"/>
          </w:tcPr>
          <w:p w14:paraId="6A0704D2" w14:textId="259F6352" w:rsidR="009935B3" w:rsidRPr="00CF2E7C" w:rsidRDefault="009935B3" w:rsidP="009935B3">
            <w:pPr>
              <w:rPr>
                <w:rFonts w:ascii="Calibri" w:hAnsi="Calibri" w:cs="Calibri"/>
              </w:rPr>
            </w:pPr>
            <w:r w:rsidRPr="00CC3030">
              <w:rPr>
                <w:rFonts w:ascii="Calibri" w:hAnsi="Calibri" w:cs="Calibri"/>
              </w:rPr>
              <w:t>X</w:t>
            </w:r>
          </w:p>
        </w:tc>
      </w:tr>
      <w:tr w:rsidR="009935B3" w:rsidRPr="009C4D10" w14:paraId="385EB592" w14:textId="77777777" w:rsidTr="007E1737">
        <w:trPr>
          <w:trHeight w:val="22"/>
        </w:trPr>
        <w:tc>
          <w:tcPr>
            <w:tcW w:w="1065" w:type="dxa"/>
            <w:vAlign w:val="center"/>
          </w:tcPr>
          <w:p w14:paraId="7B938634" w14:textId="4E896EA2" w:rsidR="009935B3" w:rsidRPr="00CF2E7C" w:rsidRDefault="009935B3" w:rsidP="009935B3">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9935B3" w:rsidRPr="00CF2E7C" w:rsidRDefault="009935B3" w:rsidP="009935B3">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9935B3" w:rsidRPr="00CF2E7C" w:rsidRDefault="009935B3" w:rsidP="009935B3">
            <w:pPr>
              <w:rPr>
                <w:rFonts w:ascii="Calibri" w:hAnsi="Calibri" w:cs="Calibri"/>
              </w:rPr>
            </w:pPr>
          </w:p>
        </w:tc>
        <w:tc>
          <w:tcPr>
            <w:tcW w:w="1455" w:type="dxa"/>
            <w:gridSpan w:val="2"/>
            <w:vAlign w:val="center"/>
          </w:tcPr>
          <w:p w14:paraId="4BBAE27E" w14:textId="77777777" w:rsidR="009935B3" w:rsidRPr="00CF2E7C" w:rsidRDefault="009935B3" w:rsidP="009935B3">
            <w:pPr>
              <w:rPr>
                <w:rFonts w:ascii="Calibri" w:hAnsi="Calibri" w:cs="Calibri"/>
              </w:rPr>
            </w:pPr>
          </w:p>
        </w:tc>
        <w:tc>
          <w:tcPr>
            <w:tcW w:w="1505" w:type="dxa"/>
          </w:tcPr>
          <w:p w14:paraId="5B8FD802" w14:textId="6EB207AB" w:rsidR="009935B3" w:rsidRPr="00CF2E7C" w:rsidRDefault="009935B3" w:rsidP="009935B3">
            <w:pPr>
              <w:rPr>
                <w:rFonts w:ascii="Calibri" w:hAnsi="Calibri" w:cs="Calibri"/>
              </w:rPr>
            </w:pPr>
            <w:r w:rsidRPr="00CC3030">
              <w:rPr>
                <w:rFonts w:ascii="Calibri" w:hAnsi="Calibri" w:cs="Calibri"/>
              </w:rPr>
              <w:t>X</w:t>
            </w:r>
          </w:p>
        </w:tc>
      </w:tr>
      <w:tr w:rsidR="009935B3" w:rsidRPr="009C4D10" w14:paraId="151DC3D4" w14:textId="77777777" w:rsidTr="007E1737">
        <w:trPr>
          <w:trHeight w:val="300"/>
        </w:trPr>
        <w:tc>
          <w:tcPr>
            <w:tcW w:w="1065" w:type="dxa"/>
            <w:vAlign w:val="center"/>
          </w:tcPr>
          <w:p w14:paraId="24686AA6" w14:textId="73367BC2" w:rsidR="009935B3" w:rsidRPr="00CF2E7C" w:rsidRDefault="009935B3" w:rsidP="009935B3">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9935B3" w:rsidRPr="00CF2E7C" w:rsidRDefault="009935B3" w:rsidP="009935B3">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9935B3" w:rsidRPr="00CF2E7C" w:rsidRDefault="009935B3" w:rsidP="009935B3">
            <w:pPr>
              <w:rPr>
                <w:rFonts w:ascii="Calibri" w:hAnsi="Calibri" w:cs="Calibri"/>
              </w:rPr>
            </w:pPr>
          </w:p>
        </w:tc>
        <w:tc>
          <w:tcPr>
            <w:tcW w:w="1455" w:type="dxa"/>
            <w:gridSpan w:val="2"/>
            <w:vAlign w:val="center"/>
          </w:tcPr>
          <w:p w14:paraId="5CE2605B" w14:textId="77777777" w:rsidR="009935B3" w:rsidRPr="00CF2E7C" w:rsidRDefault="009935B3" w:rsidP="009935B3">
            <w:pPr>
              <w:rPr>
                <w:rFonts w:ascii="Calibri" w:hAnsi="Calibri" w:cs="Calibri"/>
              </w:rPr>
            </w:pPr>
          </w:p>
        </w:tc>
        <w:tc>
          <w:tcPr>
            <w:tcW w:w="1505" w:type="dxa"/>
          </w:tcPr>
          <w:p w14:paraId="73977984" w14:textId="3EDD24E1" w:rsidR="009935B3" w:rsidRPr="00CF2E7C" w:rsidRDefault="009935B3" w:rsidP="009935B3">
            <w:pPr>
              <w:rPr>
                <w:rFonts w:ascii="Calibri" w:hAnsi="Calibri" w:cs="Calibri"/>
              </w:rPr>
            </w:pPr>
            <w:r w:rsidRPr="00CC3030">
              <w:rPr>
                <w:rFonts w:ascii="Calibri" w:hAnsi="Calibri" w:cs="Calibri"/>
              </w:rPr>
              <w:t>X</w:t>
            </w:r>
          </w:p>
        </w:tc>
      </w:tr>
      <w:tr w:rsidR="009935B3" w:rsidRPr="009C4D10" w14:paraId="5569CEE6" w14:textId="77777777" w:rsidTr="007E1737">
        <w:trPr>
          <w:trHeight w:val="22"/>
        </w:trPr>
        <w:tc>
          <w:tcPr>
            <w:tcW w:w="1065" w:type="dxa"/>
            <w:vAlign w:val="center"/>
          </w:tcPr>
          <w:p w14:paraId="31EE4DB2" w14:textId="20709EB4" w:rsidR="009935B3" w:rsidRPr="00CF2E7C" w:rsidRDefault="009935B3" w:rsidP="009935B3">
            <w:pPr>
              <w:rPr>
                <w:rFonts w:ascii="Calibri" w:hAnsi="Calibri" w:cs="Calibri"/>
              </w:rPr>
            </w:pPr>
            <w:r w:rsidRPr="00CF2E7C">
              <w:rPr>
                <w:rFonts w:ascii="Calibri" w:hAnsi="Calibri" w:cs="Calibri"/>
              </w:rPr>
              <w:lastRenderedPageBreak/>
              <w:t>5.3.10</w:t>
            </w:r>
          </w:p>
        </w:tc>
        <w:tc>
          <w:tcPr>
            <w:tcW w:w="4959" w:type="dxa"/>
            <w:gridSpan w:val="3"/>
            <w:shd w:val="clear" w:color="auto" w:fill="DEEAF6" w:themeFill="accent5" w:themeFillTint="33"/>
            <w:vAlign w:val="center"/>
          </w:tcPr>
          <w:p w14:paraId="1E27698D" w14:textId="77777777" w:rsidR="009935B3" w:rsidRPr="00CF2E7C" w:rsidRDefault="009935B3" w:rsidP="009935B3">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9935B3" w:rsidRPr="00CF2E7C" w:rsidRDefault="009935B3" w:rsidP="009935B3">
            <w:pPr>
              <w:rPr>
                <w:rFonts w:ascii="Calibri" w:hAnsi="Calibri" w:cs="Calibri"/>
              </w:rPr>
            </w:pPr>
          </w:p>
        </w:tc>
        <w:tc>
          <w:tcPr>
            <w:tcW w:w="1455" w:type="dxa"/>
            <w:gridSpan w:val="2"/>
            <w:vAlign w:val="center"/>
          </w:tcPr>
          <w:p w14:paraId="1BA1B432" w14:textId="77777777" w:rsidR="009935B3" w:rsidRPr="00CF2E7C" w:rsidRDefault="009935B3" w:rsidP="009935B3">
            <w:pPr>
              <w:rPr>
                <w:rFonts w:ascii="Calibri" w:hAnsi="Calibri" w:cs="Calibri"/>
              </w:rPr>
            </w:pPr>
          </w:p>
        </w:tc>
        <w:tc>
          <w:tcPr>
            <w:tcW w:w="1505" w:type="dxa"/>
          </w:tcPr>
          <w:p w14:paraId="258AB5B6" w14:textId="44DCAC05" w:rsidR="009935B3" w:rsidRPr="00CF2E7C" w:rsidRDefault="009935B3" w:rsidP="009935B3">
            <w:pPr>
              <w:rPr>
                <w:rFonts w:ascii="Calibri" w:hAnsi="Calibri" w:cs="Calibri"/>
              </w:rPr>
            </w:pPr>
            <w:r w:rsidRPr="00CC3030">
              <w:rPr>
                <w:rFonts w:ascii="Calibri" w:hAnsi="Calibri" w:cs="Calibri"/>
              </w:rPr>
              <w:t>X</w:t>
            </w:r>
          </w:p>
        </w:tc>
      </w:tr>
      <w:tr w:rsidR="009935B3" w:rsidRPr="009C4D10" w14:paraId="46B12AF2" w14:textId="77777777" w:rsidTr="007E1737">
        <w:trPr>
          <w:trHeight w:val="300"/>
        </w:trPr>
        <w:tc>
          <w:tcPr>
            <w:tcW w:w="1065" w:type="dxa"/>
            <w:vAlign w:val="center"/>
          </w:tcPr>
          <w:p w14:paraId="573327D8" w14:textId="5CC9CDF4" w:rsidR="009935B3" w:rsidRPr="00CF2E7C" w:rsidRDefault="009935B3" w:rsidP="009935B3">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9935B3" w:rsidRPr="00CF2E7C" w:rsidRDefault="009935B3" w:rsidP="009935B3">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9935B3" w:rsidRPr="00CF2E7C" w:rsidRDefault="009935B3" w:rsidP="009935B3">
            <w:pPr>
              <w:rPr>
                <w:rFonts w:ascii="Calibri" w:hAnsi="Calibri" w:cs="Calibri"/>
              </w:rPr>
            </w:pPr>
          </w:p>
        </w:tc>
        <w:tc>
          <w:tcPr>
            <w:tcW w:w="1455" w:type="dxa"/>
            <w:gridSpan w:val="2"/>
            <w:vAlign w:val="center"/>
          </w:tcPr>
          <w:p w14:paraId="48FCC9CA" w14:textId="77777777" w:rsidR="009935B3" w:rsidRPr="00CF2E7C" w:rsidRDefault="009935B3" w:rsidP="009935B3">
            <w:pPr>
              <w:rPr>
                <w:rFonts w:ascii="Calibri" w:hAnsi="Calibri" w:cs="Calibri"/>
              </w:rPr>
            </w:pPr>
          </w:p>
        </w:tc>
        <w:tc>
          <w:tcPr>
            <w:tcW w:w="1505" w:type="dxa"/>
          </w:tcPr>
          <w:p w14:paraId="24D6275F" w14:textId="60C02550" w:rsidR="009935B3" w:rsidRPr="00CF2E7C" w:rsidRDefault="009935B3" w:rsidP="009935B3">
            <w:pPr>
              <w:rPr>
                <w:rFonts w:ascii="Calibri" w:hAnsi="Calibri" w:cs="Calibri"/>
              </w:rPr>
            </w:pPr>
            <w:r w:rsidRPr="00CC3030">
              <w:rPr>
                <w:rFonts w:ascii="Calibri" w:hAnsi="Calibri" w:cs="Calibri"/>
              </w:rPr>
              <w:t>X</w:t>
            </w:r>
          </w:p>
        </w:tc>
      </w:tr>
      <w:tr w:rsidR="009935B3" w:rsidRPr="009C4D10" w14:paraId="710A659C" w14:textId="77777777" w:rsidTr="007E1737">
        <w:trPr>
          <w:trHeight w:val="300"/>
        </w:trPr>
        <w:tc>
          <w:tcPr>
            <w:tcW w:w="1065" w:type="dxa"/>
            <w:vAlign w:val="center"/>
          </w:tcPr>
          <w:p w14:paraId="15C9720A" w14:textId="1FD286BB" w:rsidR="009935B3" w:rsidRPr="00CF2E7C" w:rsidRDefault="009935B3" w:rsidP="009935B3">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9935B3" w:rsidRPr="00CF2E7C" w:rsidRDefault="009935B3" w:rsidP="009935B3">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9935B3" w:rsidRPr="00CF2E7C" w:rsidRDefault="009935B3" w:rsidP="009935B3">
            <w:pPr>
              <w:rPr>
                <w:rFonts w:ascii="Calibri" w:hAnsi="Calibri" w:cs="Calibri"/>
              </w:rPr>
            </w:pPr>
          </w:p>
        </w:tc>
        <w:tc>
          <w:tcPr>
            <w:tcW w:w="1455" w:type="dxa"/>
            <w:gridSpan w:val="2"/>
            <w:vAlign w:val="center"/>
          </w:tcPr>
          <w:p w14:paraId="32BA53EC" w14:textId="77777777" w:rsidR="009935B3" w:rsidRPr="00CF2E7C" w:rsidRDefault="009935B3" w:rsidP="009935B3">
            <w:pPr>
              <w:rPr>
                <w:rFonts w:ascii="Calibri" w:hAnsi="Calibri" w:cs="Calibri"/>
              </w:rPr>
            </w:pPr>
          </w:p>
        </w:tc>
        <w:tc>
          <w:tcPr>
            <w:tcW w:w="1505" w:type="dxa"/>
          </w:tcPr>
          <w:p w14:paraId="3132483F" w14:textId="466464AD" w:rsidR="009935B3" w:rsidRPr="00CF2E7C" w:rsidRDefault="009935B3" w:rsidP="009935B3">
            <w:pPr>
              <w:rPr>
                <w:rFonts w:ascii="Calibri" w:hAnsi="Calibri" w:cs="Calibri"/>
              </w:rPr>
            </w:pPr>
            <w:r w:rsidRPr="00CC3030">
              <w:rPr>
                <w:rFonts w:ascii="Calibri" w:hAnsi="Calibri" w:cs="Calibri"/>
              </w:rPr>
              <w:t>X</w:t>
            </w:r>
          </w:p>
        </w:tc>
      </w:tr>
      <w:tr w:rsidR="009935B3" w:rsidRPr="009C4D10" w14:paraId="6922D8BF" w14:textId="77777777" w:rsidTr="007E1737">
        <w:trPr>
          <w:trHeight w:val="300"/>
        </w:trPr>
        <w:tc>
          <w:tcPr>
            <w:tcW w:w="1065" w:type="dxa"/>
            <w:vAlign w:val="center"/>
          </w:tcPr>
          <w:p w14:paraId="36E911E0" w14:textId="6B06913E" w:rsidR="009935B3" w:rsidRPr="00CF2E7C" w:rsidRDefault="009935B3" w:rsidP="009935B3">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9935B3" w:rsidRPr="00CF2E7C" w:rsidRDefault="009935B3" w:rsidP="009935B3">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9935B3" w:rsidRPr="00CF2E7C" w:rsidRDefault="009935B3" w:rsidP="009935B3">
            <w:pPr>
              <w:rPr>
                <w:rFonts w:ascii="Calibri" w:hAnsi="Calibri" w:cs="Calibri"/>
              </w:rPr>
            </w:pPr>
          </w:p>
        </w:tc>
        <w:tc>
          <w:tcPr>
            <w:tcW w:w="1455" w:type="dxa"/>
            <w:gridSpan w:val="2"/>
            <w:vAlign w:val="center"/>
          </w:tcPr>
          <w:p w14:paraId="2897FEDE" w14:textId="77777777" w:rsidR="009935B3" w:rsidRPr="00CF2E7C" w:rsidRDefault="009935B3" w:rsidP="009935B3">
            <w:pPr>
              <w:rPr>
                <w:rFonts w:ascii="Calibri" w:hAnsi="Calibri" w:cs="Calibri"/>
              </w:rPr>
            </w:pPr>
          </w:p>
        </w:tc>
        <w:tc>
          <w:tcPr>
            <w:tcW w:w="1505" w:type="dxa"/>
          </w:tcPr>
          <w:p w14:paraId="6A1956C6" w14:textId="147708EF" w:rsidR="009935B3" w:rsidRPr="00CF2E7C" w:rsidRDefault="009935B3" w:rsidP="009935B3">
            <w:pPr>
              <w:rPr>
                <w:rFonts w:ascii="Calibri" w:hAnsi="Calibri" w:cs="Calibri"/>
              </w:rPr>
            </w:pPr>
            <w:r w:rsidRPr="00CC3030">
              <w:rPr>
                <w:rFonts w:ascii="Calibri" w:hAnsi="Calibri" w:cs="Calibri"/>
              </w:rPr>
              <w:t>X</w:t>
            </w:r>
          </w:p>
        </w:tc>
      </w:tr>
      <w:tr w:rsidR="009935B3" w:rsidRPr="009C4D10" w14:paraId="029FB1F0" w14:textId="77777777" w:rsidTr="007E1737">
        <w:trPr>
          <w:trHeight w:val="300"/>
        </w:trPr>
        <w:tc>
          <w:tcPr>
            <w:tcW w:w="1065" w:type="dxa"/>
            <w:vAlign w:val="center"/>
          </w:tcPr>
          <w:p w14:paraId="78E20A06" w14:textId="4C5F26C6" w:rsidR="009935B3" w:rsidRPr="00CF2E7C" w:rsidRDefault="009935B3" w:rsidP="009935B3">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9935B3" w:rsidRPr="00CF2E7C" w:rsidRDefault="009935B3" w:rsidP="009935B3">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9935B3" w:rsidRPr="00CF2E7C" w:rsidRDefault="009935B3" w:rsidP="009935B3">
            <w:pPr>
              <w:rPr>
                <w:rFonts w:ascii="Calibri" w:hAnsi="Calibri" w:cs="Calibri"/>
              </w:rPr>
            </w:pPr>
          </w:p>
        </w:tc>
        <w:tc>
          <w:tcPr>
            <w:tcW w:w="1455" w:type="dxa"/>
            <w:gridSpan w:val="2"/>
            <w:vAlign w:val="center"/>
          </w:tcPr>
          <w:p w14:paraId="0588D4B9" w14:textId="77777777" w:rsidR="009935B3" w:rsidRPr="00CF2E7C" w:rsidRDefault="009935B3" w:rsidP="009935B3">
            <w:pPr>
              <w:rPr>
                <w:rFonts w:ascii="Calibri" w:hAnsi="Calibri" w:cs="Calibri"/>
              </w:rPr>
            </w:pPr>
          </w:p>
        </w:tc>
        <w:tc>
          <w:tcPr>
            <w:tcW w:w="1505" w:type="dxa"/>
          </w:tcPr>
          <w:p w14:paraId="6D557613" w14:textId="359E6243" w:rsidR="009935B3" w:rsidRPr="00CF2E7C" w:rsidRDefault="009935B3" w:rsidP="009935B3">
            <w:pPr>
              <w:rPr>
                <w:rFonts w:ascii="Calibri" w:hAnsi="Calibri" w:cs="Calibri"/>
              </w:rPr>
            </w:pPr>
            <w:r w:rsidRPr="00CC3030">
              <w:rPr>
                <w:rFonts w:ascii="Calibri" w:hAnsi="Calibri" w:cs="Calibri"/>
              </w:rPr>
              <w:t>X</w:t>
            </w:r>
          </w:p>
        </w:tc>
      </w:tr>
      <w:tr w:rsidR="009935B3" w:rsidRPr="009C4D10" w14:paraId="2FF1C34A" w14:textId="77777777" w:rsidTr="007E1737">
        <w:trPr>
          <w:trHeight w:val="300"/>
        </w:trPr>
        <w:tc>
          <w:tcPr>
            <w:tcW w:w="1065" w:type="dxa"/>
            <w:vAlign w:val="center"/>
          </w:tcPr>
          <w:p w14:paraId="437A018E" w14:textId="578B1058" w:rsidR="009935B3" w:rsidRPr="00CF2E7C" w:rsidRDefault="009935B3" w:rsidP="009935B3">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9935B3" w:rsidRPr="00CF2E7C" w:rsidRDefault="009935B3" w:rsidP="009935B3">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9935B3" w:rsidRPr="00CF2E7C" w:rsidRDefault="009935B3" w:rsidP="009935B3">
            <w:pPr>
              <w:rPr>
                <w:rFonts w:ascii="Calibri" w:hAnsi="Calibri" w:cs="Calibri"/>
              </w:rPr>
            </w:pPr>
          </w:p>
        </w:tc>
        <w:tc>
          <w:tcPr>
            <w:tcW w:w="1455" w:type="dxa"/>
            <w:gridSpan w:val="2"/>
            <w:vAlign w:val="center"/>
          </w:tcPr>
          <w:p w14:paraId="40F5B4FC" w14:textId="77777777" w:rsidR="009935B3" w:rsidRPr="00CF2E7C" w:rsidRDefault="009935B3" w:rsidP="009935B3">
            <w:pPr>
              <w:rPr>
                <w:rFonts w:ascii="Calibri" w:hAnsi="Calibri" w:cs="Calibri"/>
              </w:rPr>
            </w:pPr>
          </w:p>
        </w:tc>
        <w:tc>
          <w:tcPr>
            <w:tcW w:w="1505" w:type="dxa"/>
          </w:tcPr>
          <w:p w14:paraId="2D2CEFA1" w14:textId="182C68FA" w:rsidR="009935B3" w:rsidRPr="00CF2E7C" w:rsidRDefault="009935B3" w:rsidP="009935B3">
            <w:pPr>
              <w:rPr>
                <w:rFonts w:ascii="Calibri" w:hAnsi="Calibri" w:cs="Calibri"/>
              </w:rPr>
            </w:pPr>
            <w:r w:rsidRPr="00CC3030">
              <w:rPr>
                <w:rFonts w:ascii="Calibri" w:hAnsi="Calibri" w:cs="Calibri"/>
              </w:rPr>
              <w:t>X</w:t>
            </w:r>
          </w:p>
        </w:tc>
      </w:tr>
      <w:tr w:rsidR="009935B3" w:rsidRPr="009C4D10" w14:paraId="010BC0C1" w14:textId="77777777" w:rsidTr="007E1737">
        <w:trPr>
          <w:trHeight w:val="300"/>
        </w:trPr>
        <w:tc>
          <w:tcPr>
            <w:tcW w:w="1065" w:type="dxa"/>
            <w:vAlign w:val="center"/>
          </w:tcPr>
          <w:p w14:paraId="68DDB284" w14:textId="2824A9CE" w:rsidR="009935B3" w:rsidRPr="00CF2E7C" w:rsidRDefault="009935B3" w:rsidP="009935B3">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9935B3" w:rsidRPr="00CF2E7C" w:rsidRDefault="009935B3" w:rsidP="009935B3">
            <w:pPr>
              <w:rPr>
                <w:rFonts w:ascii="Calibri" w:hAnsi="Calibri" w:cs="Calibri"/>
              </w:rPr>
            </w:pPr>
            <w:r w:rsidRPr="00CF2E7C">
              <w:rPr>
                <w:rFonts w:ascii="Calibri" w:hAnsi="Calibri" w:cs="Calibri"/>
              </w:rPr>
              <w:t>Education</w:t>
            </w:r>
          </w:p>
        </w:tc>
        <w:tc>
          <w:tcPr>
            <w:tcW w:w="1456" w:type="dxa"/>
            <w:vAlign w:val="center"/>
          </w:tcPr>
          <w:p w14:paraId="2099E313" w14:textId="77777777" w:rsidR="009935B3" w:rsidRPr="00CF2E7C" w:rsidRDefault="009935B3" w:rsidP="009935B3">
            <w:pPr>
              <w:rPr>
                <w:rFonts w:ascii="Calibri" w:hAnsi="Calibri" w:cs="Calibri"/>
              </w:rPr>
            </w:pPr>
          </w:p>
        </w:tc>
        <w:tc>
          <w:tcPr>
            <w:tcW w:w="1455" w:type="dxa"/>
            <w:gridSpan w:val="2"/>
            <w:vAlign w:val="center"/>
          </w:tcPr>
          <w:p w14:paraId="4AA900D5" w14:textId="77777777" w:rsidR="009935B3" w:rsidRPr="00CF2E7C" w:rsidRDefault="009935B3" w:rsidP="009935B3">
            <w:pPr>
              <w:rPr>
                <w:rFonts w:ascii="Calibri" w:hAnsi="Calibri" w:cs="Calibri"/>
              </w:rPr>
            </w:pPr>
          </w:p>
        </w:tc>
        <w:tc>
          <w:tcPr>
            <w:tcW w:w="1505" w:type="dxa"/>
          </w:tcPr>
          <w:p w14:paraId="5091B64E" w14:textId="7AC400FB" w:rsidR="009935B3" w:rsidRPr="00CF2E7C" w:rsidRDefault="009935B3" w:rsidP="009935B3">
            <w:pPr>
              <w:rPr>
                <w:rFonts w:ascii="Calibri" w:hAnsi="Calibri" w:cs="Calibri"/>
              </w:rPr>
            </w:pPr>
            <w:r w:rsidRPr="00CC3030">
              <w:rPr>
                <w:rFonts w:ascii="Calibri" w:hAnsi="Calibri" w:cs="Calibri"/>
              </w:rPr>
              <w:t>X</w:t>
            </w:r>
          </w:p>
        </w:tc>
      </w:tr>
      <w:tr w:rsidR="009935B3" w:rsidRPr="009C4D10" w14:paraId="252E2667" w14:textId="77777777" w:rsidTr="007E1737">
        <w:trPr>
          <w:trHeight w:val="300"/>
        </w:trPr>
        <w:tc>
          <w:tcPr>
            <w:tcW w:w="1065" w:type="dxa"/>
            <w:vAlign w:val="center"/>
          </w:tcPr>
          <w:p w14:paraId="3AEE6D9A" w14:textId="1FB337E4" w:rsidR="009935B3" w:rsidRPr="00CF2E7C" w:rsidRDefault="009935B3" w:rsidP="009935B3">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9935B3" w:rsidRPr="00CF2E7C" w:rsidRDefault="009935B3" w:rsidP="009935B3">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9935B3" w:rsidRPr="00CF2E7C" w:rsidRDefault="009935B3" w:rsidP="009935B3">
            <w:pPr>
              <w:rPr>
                <w:rFonts w:ascii="Calibri" w:hAnsi="Calibri" w:cs="Calibri"/>
              </w:rPr>
            </w:pPr>
          </w:p>
        </w:tc>
        <w:tc>
          <w:tcPr>
            <w:tcW w:w="1455" w:type="dxa"/>
            <w:gridSpan w:val="2"/>
            <w:vAlign w:val="center"/>
          </w:tcPr>
          <w:p w14:paraId="7F6E73AD" w14:textId="77777777" w:rsidR="009935B3" w:rsidRPr="00CF2E7C" w:rsidRDefault="009935B3" w:rsidP="009935B3">
            <w:pPr>
              <w:rPr>
                <w:rFonts w:ascii="Calibri" w:hAnsi="Calibri" w:cs="Calibri"/>
              </w:rPr>
            </w:pPr>
          </w:p>
        </w:tc>
        <w:tc>
          <w:tcPr>
            <w:tcW w:w="1505" w:type="dxa"/>
          </w:tcPr>
          <w:p w14:paraId="4B58B540" w14:textId="4C6685EF" w:rsidR="009935B3" w:rsidRPr="00CF2E7C" w:rsidRDefault="009935B3" w:rsidP="009935B3">
            <w:pPr>
              <w:rPr>
                <w:rFonts w:ascii="Calibri" w:hAnsi="Calibri" w:cs="Calibri"/>
              </w:rPr>
            </w:pPr>
            <w:r w:rsidRPr="00CC3030">
              <w:rPr>
                <w:rFonts w:ascii="Calibri" w:hAnsi="Calibri" w:cs="Calibri"/>
              </w:rPr>
              <w:t>X</w:t>
            </w:r>
          </w:p>
        </w:tc>
      </w:tr>
      <w:tr w:rsidR="009935B3" w:rsidRPr="009C4D10" w14:paraId="32A2E037" w14:textId="77777777" w:rsidTr="007E1737">
        <w:trPr>
          <w:trHeight w:val="300"/>
        </w:trPr>
        <w:tc>
          <w:tcPr>
            <w:tcW w:w="1065" w:type="dxa"/>
            <w:vAlign w:val="center"/>
          </w:tcPr>
          <w:p w14:paraId="76840233" w14:textId="2D55CC25" w:rsidR="009935B3" w:rsidRPr="00CF2E7C" w:rsidRDefault="009935B3" w:rsidP="009935B3">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9935B3" w:rsidRPr="00CF2E7C" w:rsidRDefault="009935B3" w:rsidP="009935B3">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9935B3" w:rsidRPr="00CF2E7C" w:rsidRDefault="009935B3" w:rsidP="009935B3">
            <w:pPr>
              <w:rPr>
                <w:rFonts w:ascii="Calibri" w:hAnsi="Calibri" w:cs="Calibri"/>
              </w:rPr>
            </w:pPr>
          </w:p>
        </w:tc>
        <w:tc>
          <w:tcPr>
            <w:tcW w:w="1455" w:type="dxa"/>
            <w:gridSpan w:val="2"/>
            <w:vAlign w:val="center"/>
          </w:tcPr>
          <w:p w14:paraId="7D9216C7" w14:textId="77777777" w:rsidR="009935B3" w:rsidRPr="00CF2E7C" w:rsidRDefault="009935B3" w:rsidP="009935B3">
            <w:pPr>
              <w:rPr>
                <w:rFonts w:ascii="Calibri" w:hAnsi="Calibri" w:cs="Calibri"/>
              </w:rPr>
            </w:pPr>
          </w:p>
        </w:tc>
        <w:tc>
          <w:tcPr>
            <w:tcW w:w="1505" w:type="dxa"/>
          </w:tcPr>
          <w:p w14:paraId="6880DCC8" w14:textId="142CF91E" w:rsidR="009935B3" w:rsidRPr="00CF2E7C" w:rsidRDefault="009935B3" w:rsidP="009935B3">
            <w:pPr>
              <w:rPr>
                <w:rFonts w:ascii="Calibri" w:hAnsi="Calibri" w:cs="Calibri"/>
              </w:rPr>
            </w:pPr>
            <w:r w:rsidRPr="00CC3030">
              <w:rPr>
                <w:rFonts w:ascii="Calibri" w:hAnsi="Calibri" w:cs="Calibri"/>
              </w:rPr>
              <w:t>X</w:t>
            </w:r>
          </w:p>
        </w:tc>
      </w:tr>
      <w:tr w:rsidR="009935B3" w:rsidRPr="009C4D10" w14:paraId="5EF39827" w14:textId="77777777" w:rsidTr="007E1737">
        <w:trPr>
          <w:trHeight w:val="300"/>
        </w:trPr>
        <w:tc>
          <w:tcPr>
            <w:tcW w:w="1065" w:type="dxa"/>
            <w:vAlign w:val="center"/>
          </w:tcPr>
          <w:p w14:paraId="2D80659D" w14:textId="4F89BB28" w:rsidR="009935B3" w:rsidRPr="00CF2E7C" w:rsidRDefault="009935B3" w:rsidP="009935B3">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9935B3" w:rsidRPr="00CF2E7C" w:rsidRDefault="009935B3" w:rsidP="009935B3">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9935B3" w:rsidRPr="00CF2E7C" w:rsidRDefault="009935B3" w:rsidP="009935B3">
            <w:pPr>
              <w:rPr>
                <w:rFonts w:ascii="Calibri" w:hAnsi="Calibri" w:cs="Calibri"/>
              </w:rPr>
            </w:pPr>
          </w:p>
        </w:tc>
        <w:tc>
          <w:tcPr>
            <w:tcW w:w="1455" w:type="dxa"/>
            <w:gridSpan w:val="2"/>
            <w:vAlign w:val="center"/>
          </w:tcPr>
          <w:p w14:paraId="0FF1816F" w14:textId="77777777" w:rsidR="009935B3" w:rsidRPr="00CF2E7C" w:rsidRDefault="009935B3" w:rsidP="009935B3">
            <w:pPr>
              <w:rPr>
                <w:rFonts w:ascii="Calibri" w:hAnsi="Calibri" w:cs="Calibri"/>
              </w:rPr>
            </w:pPr>
          </w:p>
        </w:tc>
        <w:tc>
          <w:tcPr>
            <w:tcW w:w="1505" w:type="dxa"/>
          </w:tcPr>
          <w:p w14:paraId="3EFF307A" w14:textId="1C5DBED4" w:rsidR="009935B3" w:rsidRPr="00CF2E7C" w:rsidRDefault="009935B3" w:rsidP="009935B3">
            <w:pPr>
              <w:rPr>
                <w:rFonts w:ascii="Calibri" w:hAnsi="Calibri" w:cs="Calibri"/>
              </w:rPr>
            </w:pPr>
            <w:r w:rsidRPr="00CC3030">
              <w:rPr>
                <w:rFonts w:ascii="Calibri" w:hAnsi="Calibri" w:cs="Calibri"/>
              </w:rPr>
              <w:t>X</w:t>
            </w:r>
          </w:p>
        </w:tc>
      </w:tr>
      <w:tr w:rsidR="009935B3" w:rsidRPr="009C4D10" w14:paraId="6A26AA9B" w14:textId="77777777" w:rsidTr="007E1737">
        <w:trPr>
          <w:trHeight w:val="300"/>
        </w:trPr>
        <w:tc>
          <w:tcPr>
            <w:tcW w:w="1065" w:type="dxa"/>
            <w:vAlign w:val="center"/>
          </w:tcPr>
          <w:p w14:paraId="4220F638" w14:textId="16AA9017" w:rsidR="009935B3" w:rsidRPr="00CF2E7C" w:rsidRDefault="009935B3" w:rsidP="009935B3">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9935B3" w:rsidRPr="00CF2E7C" w:rsidRDefault="009935B3" w:rsidP="009935B3">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9935B3" w:rsidRPr="00CF2E7C" w:rsidRDefault="009935B3" w:rsidP="009935B3">
            <w:pPr>
              <w:rPr>
                <w:rFonts w:ascii="Calibri" w:hAnsi="Calibri" w:cs="Calibri"/>
              </w:rPr>
            </w:pPr>
          </w:p>
        </w:tc>
        <w:tc>
          <w:tcPr>
            <w:tcW w:w="1455" w:type="dxa"/>
            <w:gridSpan w:val="2"/>
            <w:vAlign w:val="center"/>
          </w:tcPr>
          <w:p w14:paraId="68E06EB0" w14:textId="77777777" w:rsidR="009935B3" w:rsidRPr="00CF2E7C" w:rsidRDefault="009935B3" w:rsidP="009935B3">
            <w:pPr>
              <w:rPr>
                <w:rFonts w:ascii="Calibri" w:hAnsi="Calibri" w:cs="Calibri"/>
              </w:rPr>
            </w:pPr>
          </w:p>
        </w:tc>
        <w:tc>
          <w:tcPr>
            <w:tcW w:w="1505" w:type="dxa"/>
          </w:tcPr>
          <w:p w14:paraId="0503497B" w14:textId="536E9711" w:rsidR="009935B3" w:rsidRPr="00CF2E7C" w:rsidRDefault="009935B3" w:rsidP="009935B3">
            <w:pPr>
              <w:rPr>
                <w:rFonts w:ascii="Calibri" w:hAnsi="Calibri" w:cs="Calibri"/>
              </w:rPr>
            </w:pPr>
            <w:r w:rsidRPr="00CC3030">
              <w:rPr>
                <w:rFonts w:ascii="Calibri" w:hAnsi="Calibri" w:cs="Calibri"/>
              </w:rPr>
              <w:t>X</w:t>
            </w:r>
          </w:p>
        </w:tc>
      </w:tr>
      <w:tr w:rsidR="009935B3" w:rsidRPr="009C4D10" w14:paraId="1372325C" w14:textId="77777777" w:rsidTr="007E1737">
        <w:trPr>
          <w:trHeight w:val="300"/>
        </w:trPr>
        <w:tc>
          <w:tcPr>
            <w:tcW w:w="1065" w:type="dxa"/>
            <w:vAlign w:val="center"/>
          </w:tcPr>
          <w:p w14:paraId="686BDB9E" w14:textId="5E815A29" w:rsidR="009935B3" w:rsidRPr="00CF2E7C" w:rsidRDefault="009935B3" w:rsidP="009935B3">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9935B3" w:rsidRPr="00CF2E7C" w:rsidRDefault="009935B3" w:rsidP="009935B3">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9935B3" w:rsidRPr="00CF2E7C" w:rsidRDefault="009935B3" w:rsidP="009935B3">
            <w:pPr>
              <w:rPr>
                <w:rFonts w:ascii="Calibri" w:hAnsi="Calibri" w:cs="Calibri"/>
              </w:rPr>
            </w:pPr>
          </w:p>
        </w:tc>
        <w:tc>
          <w:tcPr>
            <w:tcW w:w="1455" w:type="dxa"/>
            <w:gridSpan w:val="2"/>
            <w:vAlign w:val="center"/>
          </w:tcPr>
          <w:p w14:paraId="59AAF925" w14:textId="77777777" w:rsidR="009935B3" w:rsidRPr="00CF2E7C" w:rsidRDefault="009935B3" w:rsidP="009935B3">
            <w:pPr>
              <w:rPr>
                <w:rFonts w:ascii="Calibri" w:hAnsi="Calibri" w:cs="Calibri"/>
              </w:rPr>
            </w:pPr>
          </w:p>
        </w:tc>
        <w:tc>
          <w:tcPr>
            <w:tcW w:w="1505" w:type="dxa"/>
          </w:tcPr>
          <w:p w14:paraId="0F24D7A9" w14:textId="54A64F07" w:rsidR="009935B3" w:rsidRPr="00CF2E7C" w:rsidRDefault="009935B3" w:rsidP="009935B3">
            <w:pPr>
              <w:rPr>
                <w:rFonts w:ascii="Calibri" w:hAnsi="Calibri" w:cs="Calibri"/>
              </w:rPr>
            </w:pPr>
            <w:r w:rsidRPr="00CC3030">
              <w:rPr>
                <w:rFonts w:ascii="Calibri" w:hAnsi="Calibri" w:cs="Calibri"/>
              </w:rPr>
              <w:t>X</w:t>
            </w:r>
          </w:p>
        </w:tc>
      </w:tr>
      <w:tr w:rsidR="009935B3" w:rsidRPr="009C4D10" w14:paraId="602DA900" w14:textId="77777777" w:rsidTr="007E1737">
        <w:trPr>
          <w:trHeight w:val="22"/>
        </w:trPr>
        <w:tc>
          <w:tcPr>
            <w:tcW w:w="1065" w:type="dxa"/>
            <w:vAlign w:val="center"/>
          </w:tcPr>
          <w:p w14:paraId="1F029D3C" w14:textId="53A67CB6" w:rsidR="009935B3" w:rsidRPr="00CF2E7C" w:rsidRDefault="009935B3" w:rsidP="009935B3">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9935B3" w:rsidRPr="00CF2E7C" w:rsidRDefault="009935B3" w:rsidP="009935B3">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9935B3" w:rsidRPr="00CF2E7C" w:rsidRDefault="009935B3" w:rsidP="009935B3">
            <w:pPr>
              <w:rPr>
                <w:rFonts w:ascii="Calibri" w:hAnsi="Calibri" w:cs="Calibri"/>
              </w:rPr>
            </w:pPr>
          </w:p>
        </w:tc>
        <w:tc>
          <w:tcPr>
            <w:tcW w:w="1455" w:type="dxa"/>
            <w:gridSpan w:val="2"/>
            <w:vAlign w:val="center"/>
          </w:tcPr>
          <w:p w14:paraId="31BBC3F0" w14:textId="77777777" w:rsidR="009935B3" w:rsidRPr="00CF2E7C" w:rsidRDefault="009935B3" w:rsidP="009935B3">
            <w:pPr>
              <w:rPr>
                <w:rFonts w:ascii="Calibri" w:hAnsi="Calibri" w:cs="Calibri"/>
              </w:rPr>
            </w:pPr>
          </w:p>
        </w:tc>
        <w:tc>
          <w:tcPr>
            <w:tcW w:w="1505" w:type="dxa"/>
          </w:tcPr>
          <w:p w14:paraId="0B5893E0" w14:textId="0B328FF2" w:rsidR="009935B3" w:rsidRPr="00CF2E7C" w:rsidRDefault="009935B3" w:rsidP="009935B3">
            <w:pPr>
              <w:rPr>
                <w:rFonts w:ascii="Calibri" w:hAnsi="Calibri" w:cs="Calibri"/>
              </w:rPr>
            </w:pPr>
            <w:r w:rsidRPr="00CC3030">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7E1737">
        <w:trPr>
          <w:trHeight w:val="783"/>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4614B9BF" w14:textId="77777777" w:rsidR="009935B3" w:rsidRDefault="009935B3" w:rsidP="009935B3">
            <w:pPr>
              <w:jc w:val="both"/>
              <w:rPr>
                <w:rFonts w:ascii="Calibri" w:hAnsi="Calibri" w:cs="Calibri"/>
              </w:rPr>
            </w:pPr>
            <w:r w:rsidRPr="009935B3">
              <w:rPr>
                <w:rFonts w:ascii="Calibri" w:hAnsi="Calibri" w:cs="Calibri"/>
              </w:rPr>
              <w:t>The policy tool is applicable to all Scheduled Commercial Banks including Small Finance Banks (excluding Regional Rural Banks, Local Area Banks and Payments Banks) and all deposit taking Non-Banking Finance Companies registered with the Reserve Bank of India under Section 45IA(5) of the Reserve Bank of India Act, 1934 including Housing Finance Companies registered under Section 29A of the National Housing Bank Act, 1987</w:t>
            </w:r>
            <w:r>
              <w:rPr>
                <w:rFonts w:ascii="Calibri" w:hAnsi="Calibri" w:cs="Calibri"/>
              </w:rPr>
              <w:t xml:space="preserve">. </w:t>
            </w:r>
          </w:p>
          <w:p w14:paraId="052C8C35" w14:textId="4DBC2643" w:rsidR="00DD292A" w:rsidRPr="00CF2E7C" w:rsidRDefault="009935B3" w:rsidP="007E1737">
            <w:pPr>
              <w:jc w:val="both"/>
              <w:rPr>
                <w:rFonts w:ascii="Calibri" w:hAnsi="Calibri" w:cs="Calibri"/>
              </w:rPr>
            </w:pPr>
            <w:r w:rsidRPr="009935B3">
              <w:rPr>
                <w:rFonts w:ascii="Calibri" w:hAnsi="Calibri" w:cs="Calibri"/>
              </w:rPr>
              <w:t>While the core duties and requirements of the framework, such as establishing a Board-approved policy and financing framework, annual third-party verification, and impact assessment, apply uniformly to all these Regulated Entities (REs), the specific terms and conditions related to the tenor, size, interest rate, and other terms for green deposits are applied mutatis mutandis based on the existing Master Directions governing each type of RE. This means that operational specifics, such as interest rate regulations, would adhere to the respective Master Directions issued by the RBI (e.g., Master Direction - Reserve Bank of India (Interest Rate on Deposits) Directions, 2016 for banks, Master Direction - Non-Banking Financial Companies Acceptance of Public Deposits (Reserve Bank) Directions, 2016 for NBFCs, and Master Direction - Non-Banking Financial Company - Housing Finance Company (Reserve Bank) Directions, 2021 for HFCs).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5C67CBD3" w14:textId="7F90C948" w:rsidR="00736C62" w:rsidRDefault="00736C62" w:rsidP="007E1737">
            <w:pPr>
              <w:jc w:val="both"/>
            </w:pPr>
            <w:r>
              <w:t>The criteria to identify entities as per Paragraph A(1) are:</w:t>
            </w:r>
          </w:p>
          <w:p w14:paraId="08563C0F" w14:textId="77777777" w:rsidR="00736C62" w:rsidRDefault="00736C62" w:rsidP="007E1737">
            <w:pPr>
              <w:jc w:val="both"/>
            </w:pPr>
            <w:r>
              <w:t>• All Scheduled Commercial Banks (excluding Regional Rural Banks, Local Area Banks, and Payments Banks).</w:t>
            </w:r>
          </w:p>
          <w:p w14:paraId="00B7C4FE" w14:textId="53A1B1BB" w:rsidR="00736C62" w:rsidRPr="007E1737" w:rsidRDefault="00736C62" w:rsidP="007E1737">
            <w:pPr>
              <w:jc w:val="both"/>
            </w:pPr>
            <w:r>
              <w:t xml:space="preserve">• All Deposit-taking Non-Banking Financial Companies (NBFCs) registered with the RBI under Section 45IA of The Reserve Bank of India Act, 1934, including Housing Finance Companies (HFCs) registered under Section 29A of The National Housing Bank Act, 1987. </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4A424C66" w:rsidR="00DD292A" w:rsidRPr="00CF2E7C" w:rsidRDefault="00D204E1"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lastRenderedPageBreak/>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1C13A4B8"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43409196"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4FF34B82" w:rsidR="00DD3B33" w:rsidRPr="00CF2E7C" w:rsidRDefault="002C1CBF"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2BE3BBFB" w:rsidR="00DD3B33" w:rsidRPr="00CF2E7C" w:rsidRDefault="002C1CBF"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E40FE32" w14:textId="33B0A7A4" w:rsidR="00283CCD" w:rsidRDefault="002C1CBF">
            <w:pPr>
              <w:jc w:val="both"/>
              <w:rPr>
                <w:rFonts w:ascii="Calibri" w:hAnsi="Calibri" w:cs="Calibri"/>
              </w:rPr>
            </w:pPr>
            <w:r w:rsidRPr="007E1737">
              <w:rPr>
                <w:rFonts w:ascii="Calibri" w:hAnsi="Calibri" w:cs="Calibri"/>
              </w:rPr>
              <w:t>The policy</w:t>
            </w:r>
            <w:r>
              <w:rPr>
                <w:rFonts w:ascii="Calibri" w:hAnsi="Calibri" w:cs="Calibri"/>
              </w:rPr>
              <w:t xml:space="preserve"> tool</w:t>
            </w:r>
            <w:r w:rsidRPr="007E1737">
              <w:rPr>
                <w:rFonts w:ascii="Calibri" w:hAnsi="Calibri" w:cs="Calibri"/>
              </w:rPr>
              <w:t xml:space="preserve"> doesn’t</w:t>
            </w:r>
            <w:r w:rsidR="00776626">
              <w:rPr>
                <w:rFonts w:ascii="Calibri" w:hAnsi="Calibri" w:cs="Calibri"/>
              </w:rPr>
              <w:t xml:space="preserve"> independently</w:t>
            </w:r>
            <w:r w:rsidRPr="007E1737">
              <w:rPr>
                <w:rFonts w:ascii="Calibri" w:hAnsi="Calibri" w:cs="Calibri"/>
              </w:rPr>
              <w:t xml:space="preserve"> include penalties for non-allocating proceeds to green activities or projects, but it’s subject to </w:t>
            </w:r>
            <w:r w:rsidR="00776626">
              <w:rPr>
                <w:rFonts w:ascii="Calibri" w:hAnsi="Calibri" w:cs="Calibri"/>
              </w:rPr>
              <w:t xml:space="preserve">regulatory and </w:t>
            </w:r>
            <w:r w:rsidRPr="007E1737">
              <w:rPr>
                <w:rFonts w:ascii="Calibri" w:hAnsi="Calibri" w:cs="Calibri"/>
              </w:rPr>
              <w:t>supervisory review</w:t>
            </w:r>
            <w:r w:rsidR="00776626">
              <w:rPr>
                <w:rFonts w:ascii="Calibri" w:hAnsi="Calibri" w:cs="Calibri"/>
              </w:rPr>
              <w:t xml:space="preserve"> by the Reserve Bank of India (RBI)</w:t>
            </w:r>
            <w:r w:rsidRPr="007E1737">
              <w:rPr>
                <w:rFonts w:ascii="Calibri" w:hAnsi="Calibri" w:cs="Calibri"/>
              </w:rPr>
              <w:t xml:space="preserve">. </w:t>
            </w:r>
            <w:r w:rsidR="00283CCD">
              <w:rPr>
                <w:rFonts w:ascii="Calibri" w:hAnsi="Calibri" w:cs="Calibri"/>
              </w:rPr>
              <w:t xml:space="preserve">However, contravention of the following would apply: </w:t>
            </w:r>
          </w:p>
          <w:p w14:paraId="20E360A9" w14:textId="77777777" w:rsidR="00283CCD" w:rsidRDefault="002C1CBF" w:rsidP="00283CCD">
            <w:pPr>
              <w:pStyle w:val="ListParagraph"/>
              <w:numPr>
                <w:ilvl w:val="0"/>
                <w:numId w:val="56"/>
              </w:numPr>
              <w:jc w:val="both"/>
              <w:rPr>
                <w:rFonts w:ascii="Calibri" w:hAnsi="Calibri" w:cs="Calibri"/>
              </w:rPr>
            </w:pPr>
            <w:r w:rsidRPr="007E1737">
              <w:rPr>
                <w:rFonts w:ascii="Calibri" w:hAnsi="Calibri" w:cs="Calibri"/>
              </w:rPr>
              <w:t xml:space="preserve">The Master Direction - Non-Banking Financial Company – Housing Finance Company (Reserve Bank) Directions, 2021, requires Housing Finance Companies offering green bonds to comply with the policy tool. It refers to Section 52A of the National Housing Bank Act, 1987, which allows the NHB and RBI to impose penalties on Housing Finance Companies for contravening the Act or its directions. The penalty under Section 52A(1-D) of the National Housing Bank Act, 1987, is INR 1,00,00,000/- for each contravention or default, and an additional INR 10,000/- per day for each continuing contravention or default after the first. </w:t>
            </w:r>
          </w:p>
          <w:p w14:paraId="6BF4AF82" w14:textId="118470AD" w:rsidR="002C1CBF" w:rsidRPr="007E1737" w:rsidRDefault="002C1CBF" w:rsidP="007E1737">
            <w:pPr>
              <w:pStyle w:val="ListParagraph"/>
              <w:numPr>
                <w:ilvl w:val="0"/>
                <w:numId w:val="56"/>
              </w:numPr>
              <w:jc w:val="both"/>
              <w:rPr>
                <w:rFonts w:ascii="Calibri" w:hAnsi="Calibri" w:cs="Calibri"/>
              </w:rPr>
            </w:pPr>
            <w:r w:rsidRPr="007E1737">
              <w:rPr>
                <w:rFonts w:ascii="Calibri" w:hAnsi="Calibri" w:cs="Calibri"/>
              </w:rPr>
              <w:t xml:space="preserve">The Master Direction - Non-Banking Financial Companies Acceptance of Public Deposits (Reserve Bank) Directions, 2016 requires deposit-taking Non-Banking Financial Companies offering green deposits to comply with the policy tool. Non-compliance will result in </w:t>
            </w:r>
            <w:r w:rsidRPr="007E1737">
              <w:rPr>
                <w:rFonts w:ascii="Calibri" w:hAnsi="Calibri" w:cs="Calibri"/>
              </w:rPr>
              <w:lastRenderedPageBreak/>
              <w:t>penalties under the Reserve Bank of India Act, 1934. As per Section 58-B(6) of the Act, contravention of any requirement or order, regulation, or direction will result in a fine of INR 1,00,00,000/- with an additional fine of INR 10,000/- per day for a continuing contravention.</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6A0237FE"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3DC6FE4" w:rsidR="00DD292A" w:rsidRPr="00CF2E7C" w:rsidRDefault="00F6634D"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65DF42A8" w14:textId="77777777" w:rsidR="00DD292A" w:rsidRDefault="00F6634D" w:rsidP="00CF2E7C">
            <w:pPr>
              <w:rPr>
                <w:rFonts w:ascii="Calibri" w:hAnsi="Calibri" w:cs="Calibri"/>
              </w:rPr>
            </w:pPr>
            <w:r>
              <w:rPr>
                <w:rFonts w:ascii="Calibri" w:hAnsi="Calibri" w:cs="Calibri"/>
              </w:rPr>
              <w:t>Banks have started implementing the policy tool by putting in place a green deposit policy and lending framework.</w:t>
            </w:r>
          </w:p>
          <w:p w14:paraId="496F7156" w14:textId="6E56FC31" w:rsidR="00F6634D" w:rsidRPr="007E1737" w:rsidRDefault="006D431B" w:rsidP="007E1737">
            <w:pPr>
              <w:pStyle w:val="ListParagraph"/>
              <w:numPr>
                <w:ilvl w:val="0"/>
                <w:numId w:val="55"/>
              </w:numPr>
              <w:rPr>
                <w:rFonts w:ascii="Calibri" w:hAnsi="Calibri" w:cs="Calibri"/>
              </w:rPr>
            </w:pPr>
            <w:hyperlink r:id="rId23" w:history="1">
              <w:r w:rsidRPr="006D431B">
                <w:rPr>
                  <w:rStyle w:val="Hyperlink"/>
                  <w:rFonts w:ascii="Calibri" w:hAnsi="Calibri" w:cs="Calibri"/>
                </w:rPr>
                <w:t>https://web.archive.org/web/20250724174035/https://canarabank.com/UploadedFiles/Pdf/Green Deposit Policy-300724.pdf</w:t>
              </w:r>
            </w:hyperlink>
            <w:r>
              <w:rPr>
                <w:rFonts w:ascii="Calibri" w:hAnsi="Calibri" w:cs="Calibri"/>
              </w:rPr>
              <w:t xml:space="preserve"> </w:t>
            </w:r>
            <w:r w:rsidRPr="007E1737">
              <w:rPr>
                <w:rFonts w:ascii="Calibri" w:hAnsi="Calibri" w:cs="Calibri"/>
              </w:rPr>
              <w:t>(</w:t>
            </w:r>
            <w:r w:rsidRPr="007E1737">
              <w:rPr>
                <w:rFonts w:ascii="Calibri" w:hAnsi="Calibri" w:cs="Calibri"/>
                <w:i/>
                <w:iCs/>
              </w:rPr>
              <w:t>refer Para 16</w:t>
            </w:r>
            <w:r w:rsidRPr="007E1737">
              <w:rPr>
                <w:rFonts w:ascii="Calibri" w:hAnsi="Calibri" w:cs="Calibri"/>
              </w:rPr>
              <w:t>)</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333EBED9"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r w:rsidR="00F82A02" w:rsidRPr="00CF2E7C">
              <w:rPr>
                <w:rFonts w:ascii="Calibri" w:hAnsi="Calibri" w:cs="Calibri"/>
              </w:rPr>
              <w:t xml:space="preserve">the </w:t>
            </w:r>
            <w:r w:rsidR="00F82A02" w:rsidRPr="00CF2E7C">
              <w:rPr>
                <w:rFonts w:ascii="Calibri" w:eastAsia="Times New Roman" w:hAnsi="Calibri" w:cs="Calibri"/>
                <w:b/>
                <w:bCs/>
                <w:color w:val="7030A0"/>
                <w:kern w:val="0"/>
                <w:lang w:val="en-SG" w:eastAsia="en-GB"/>
                <w14:ligatures w14:val="none"/>
              </w:rPr>
              <w:t>policy</w:t>
            </w:r>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52434ABB" w:rsidR="00DD292A" w:rsidRPr="00CF2E7C" w:rsidRDefault="002C1CBF"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0BBC1457" w:rsidR="00DD292A" w:rsidRPr="00CF2E7C" w:rsidRDefault="002C1CBF"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7505B14" w:rsidR="00410853" w:rsidRPr="00CF2E7C" w:rsidRDefault="002C1C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1076C4C7" w:rsidR="00410853" w:rsidRPr="00CF2E7C" w:rsidRDefault="002C1C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AC713F1" w14:textId="720E6AC9" w:rsidR="00410853" w:rsidRDefault="002C1CBF" w:rsidP="007E17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goes beyond risk management and governance of climate risks. It aims to:</w:t>
            </w:r>
          </w:p>
          <w:p w14:paraId="5CE48ED0" w14:textId="77777777" w:rsidR="002C1CBF" w:rsidRDefault="002C1CBF" w:rsidP="007E17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Encourage Regulated Entities (REs) to offer green deposits to customers, promoting the development of green financial products.</w:t>
            </w:r>
          </w:p>
          <w:p w14:paraId="0B2755D4" w14:textId="77777777" w:rsidR="002C1CBF" w:rsidRDefault="002C1CBF" w:rsidP="007E17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Protect depositors’ interests, ensuring the genuineness of the “green” label.</w:t>
            </w:r>
          </w:p>
          <w:p w14:paraId="7F8E3C23" w14:textId="77777777" w:rsidR="002C1CBF" w:rsidRDefault="002C1CBF" w:rsidP="007E17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Help customers achieve their sustainability agenda, acknowledging the financial sector’s role in supporting broader societal sustainability goals.</w:t>
            </w:r>
          </w:p>
          <w:p w14:paraId="28B6BB7F" w14:textId="77777777" w:rsidR="002C1CBF" w:rsidRDefault="002C1CBF" w:rsidP="007E17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Aid the flow of credit to green activities/projects, mobilising financial resources for environmental purposes and addressing climate change.</w:t>
            </w:r>
          </w:p>
          <w:p w14:paraId="127308B5" w14:textId="0EA6060D" w:rsidR="002C1CBF" w:rsidRPr="00CF2E7C" w:rsidRDefault="002C1CBF" w:rsidP="002C1CBF">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6DD7C677" w:rsidR="00F632FB" w:rsidRPr="00CF2E7C" w:rsidRDefault="00A06E2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198DE3DF" w:rsidR="008C4722" w:rsidRPr="00CF2E7C" w:rsidRDefault="00A06E2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632E6849" w:rsidR="008C4722" w:rsidRPr="00CF2E7C" w:rsidRDefault="00A06E2B" w:rsidP="007E1737">
            <w:pPr>
              <w:jc w:val="both"/>
              <w:textAlignment w:val="baseline"/>
              <w:rPr>
                <w:rFonts w:ascii="Calibri" w:eastAsia="Times New Roman" w:hAnsi="Calibri" w:cs="Calibri"/>
                <w:kern w:val="0"/>
                <w:lang w:eastAsia="en-GB"/>
                <w14:ligatures w14:val="none"/>
              </w:rPr>
            </w:pPr>
            <w:r w:rsidRPr="00A06E2B">
              <w:rPr>
                <w:rFonts w:ascii="Calibri" w:eastAsia="Times New Roman" w:hAnsi="Calibri" w:cs="Calibri"/>
                <w:kern w:val="0"/>
                <w:lang w:eastAsia="en-GB"/>
                <w14:ligatures w14:val="none"/>
              </w:rPr>
              <w:t>Climate-related risks are not explicitly identified and/or addressed by policy tool. It is concerned with offering green deposit funds and allocating them to projects which encourage energy efficiency in resource utilization, reduce carbon emission, promote climate resilience and adaption and value and improve ecosystems as well as address greenwashing concerns. The policy tool is structured such that it includes climate-related targets which as a consequence would address climate-related risks</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CB3FA00" w14:textId="1CABD682" w:rsidR="00E65D34" w:rsidRPr="00E65D34" w:rsidRDefault="00E65D34" w:rsidP="007E1737">
            <w:pPr>
              <w:jc w:val="both"/>
              <w:textAlignment w:val="baseline"/>
              <w:rPr>
                <w:rFonts w:ascii="Calibri" w:eastAsia="Times New Roman" w:hAnsi="Calibri" w:cs="Calibri"/>
                <w:kern w:val="0"/>
                <w:lang w:eastAsia="en-GB"/>
                <w14:ligatures w14:val="none"/>
              </w:rPr>
            </w:pPr>
            <w:r w:rsidRPr="00E65D34">
              <w:rPr>
                <w:rFonts w:ascii="Calibri" w:eastAsia="Times New Roman" w:hAnsi="Calibri" w:cs="Calibri"/>
                <w:kern w:val="0"/>
                <w:lang w:eastAsia="en-GB"/>
                <w14:ligatures w14:val="none"/>
              </w:rPr>
              <w:t>The primary climate-related financial risk directly addressed by this policy tool is greenwashing risk. Greenwashing, defined as the misrepresentation of products or services as green when they do not meet actual green criteria, poses significant reputational, operational, and potentially legal risks for Regulated Entities (REs)</w:t>
            </w:r>
            <w:r>
              <w:rPr>
                <w:rFonts w:ascii="Calibri" w:eastAsia="Times New Roman" w:hAnsi="Calibri" w:cs="Calibri"/>
                <w:kern w:val="0"/>
                <w:lang w:eastAsia="en-GB"/>
                <w14:ligatures w14:val="none"/>
              </w:rPr>
              <w:t xml:space="preserve"> [Paragraph A2(d)]</w:t>
            </w:r>
            <w:r w:rsidRPr="00E65D34">
              <w:rPr>
                <w:rFonts w:ascii="Calibri" w:eastAsia="Times New Roman" w:hAnsi="Calibri" w:cs="Calibri"/>
                <w:kern w:val="0"/>
                <w:lang w:eastAsia="en-GB"/>
                <w14:ligatures w14:val="none"/>
              </w:rPr>
              <w:t>. The framework addresses this by:</w:t>
            </w:r>
          </w:p>
          <w:p w14:paraId="1F8ADE31" w14:textId="1DB43B81" w:rsidR="00E65D34" w:rsidRPr="00E65D34" w:rsidRDefault="00E65D34" w:rsidP="007E1737">
            <w:pPr>
              <w:jc w:val="both"/>
              <w:textAlignment w:val="baseline"/>
              <w:rPr>
                <w:rFonts w:ascii="Calibri" w:eastAsia="Times New Roman" w:hAnsi="Calibri" w:cs="Calibri"/>
                <w:kern w:val="0"/>
                <w:lang w:eastAsia="en-GB"/>
                <w14:ligatures w14:val="none"/>
              </w:rPr>
            </w:pPr>
            <w:r w:rsidRPr="00E65D34">
              <w:rPr>
                <w:rFonts w:ascii="Calibri" w:eastAsia="Times New Roman" w:hAnsi="Calibri" w:cs="Calibri"/>
                <w:kern w:val="0"/>
                <w:lang w:eastAsia="en-GB"/>
                <w14:ligatures w14:val="none"/>
              </w:rPr>
              <w:t>• Mandating a Board-approved Financing Framework (FF): REs must establish an FF that explicitly defines the eligible green activities/projects that can be financed by green deposit proceeds [</w:t>
            </w:r>
            <w:r>
              <w:rPr>
                <w:rFonts w:ascii="Calibri" w:eastAsia="Times New Roman" w:hAnsi="Calibri" w:cs="Calibri"/>
                <w:kern w:val="0"/>
                <w:lang w:eastAsia="en-GB"/>
                <w14:ligatures w14:val="none"/>
              </w:rPr>
              <w:t>Paragraph C(5)</w:t>
            </w:r>
            <w:r w:rsidRPr="00E65D34">
              <w:rPr>
                <w:rFonts w:ascii="Calibri" w:eastAsia="Times New Roman" w:hAnsi="Calibri" w:cs="Calibri"/>
                <w:kern w:val="0"/>
                <w:lang w:eastAsia="en-GB"/>
                <w14:ligatures w14:val="none"/>
              </w:rPr>
              <w:t>]. This framework also sets out the process for project evaluation and selection, including how REs will identify projects fitting climate-related or environmental objectives and how they will monitor and validate the sustainability information provided by borrower</w:t>
            </w:r>
            <w:r>
              <w:rPr>
                <w:rFonts w:ascii="Calibri" w:eastAsia="Times New Roman" w:hAnsi="Calibri" w:cs="Calibri"/>
                <w:kern w:val="0"/>
                <w:lang w:eastAsia="en-GB"/>
                <w14:ligatures w14:val="none"/>
              </w:rPr>
              <w:t xml:space="preserve">s </w:t>
            </w:r>
            <w:r w:rsidRPr="00E65D34">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Paragraph C(5)(ii)</w:t>
            </w:r>
            <w:r w:rsidRPr="00E65D34">
              <w:rPr>
                <w:rFonts w:ascii="Calibri" w:eastAsia="Times New Roman" w:hAnsi="Calibri" w:cs="Calibri"/>
                <w:kern w:val="0"/>
                <w:lang w:eastAsia="en-GB"/>
                <w14:ligatures w14:val="none"/>
              </w:rPr>
              <w:t xml:space="preserve">]. </w:t>
            </w:r>
          </w:p>
          <w:p w14:paraId="2D7AD1F2" w14:textId="4ADF0545" w:rsidR="00E65D34" w:rsidRPr="00E65D34" w:rsidRDefault="00E65D34" w:rsidP="007E1737">
            <w:pPr>
              <w:jc w:val="both"/>
              <w:textAlignment w:val="baseline"/>
              <w:rPr>
                <w:rFonts w:ascii="Calibri" w:eastAsia="Times New Roman" w:hAnsi="Calibri" w:cs="Calibri"/>
                <w:kern w:val="0"/>
                <w:lang w:eastAsia="en-GB"/>
                <w14:ligatures w14:val="none"/>
              </w:rPr>
            </w:pPr>
            <w:r w:rsidRPr="00E65D34">
              <w:rPr>
                <w:rFonts w:ascii="Calibri" w:eastAsia="Times New Roman" w:hAnsi="Calibri" w:cs="Calibri"/>
                <w:kern w:val="0"/>
                <w:lang w:eastAsia="en-GB"/>
                <w14:ligatures w14:val="none"/>
              </w:rPr>
              <w:t>• Requiring independent Third-Party Verification/Assurance: The allocation of funds from green deposits must undergo annual independent verification</w:t>
            </w:r>
            <w:r>
              <w:rPr>
                <w:rFonts w:ascii="Calibri" w:eastAsia="Times New Roman" w:hAnsi="Calibri" w:cs="Calibri"/>
                <w:kern w:val="0"/>
                <w:lang w:eastAsia="en-GB"/>
                <w14:ligatures w14:val="none"/>
              </w:rPr>
              <w:t xml:space="preserve"> </w:t>
            </w:r>
            <w:r w:rsidRPr="00E65D34">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Paragraph C(5)(iii) &amp; Paragraph E(8)</w:t>
            </w:r>
            <w:r w:rsidRPr="00E65D34">
              <w:rPr>
                <w:rFonts w:ascii="Calibri" w:eastAsia="Times New Roman" w:hAnsi="Calibri" w:cs="Calibri"/>
                <w:kern w:val="0"/>
                <w:lang w:eastAsia="en-GB"/>
                <w14:ligatures w14:val="none"/>
              </w:rPr>
              <w:t>]. This external oversight serves as a critical check against misallocation and misrepresentation, directly mitigating greenwashing.</w:t>
            </w:r>
          </w:p>
          <w:p w14:paraId="39FC6AFA" w14:textId="3387EEDC" w:rsidR="008C4722" w:rsidRPr="00CF2E7C" w:rsidRDefault="00E65D34" w:rsidP="007E1737">
            <w:pPr>
              <w:jc w:val="both"/>
              <w:textAlignment w:val="baseline"/>
              <w:rPr>
                <w:rFonts w:ascii="Calibri" w:eastAsia="Times New Roman" w:hAnsi="Calibri" w:cs="Calibri"/>
                <w:kern w:val="0"/>
                <w:lang w:eastAsia="en-GB"/>
                <w14:ligatures w14:val="none"/>
              </w:rPr>
            </w:pPr>
            <w:r w:rsidRPr="00E65D34">
              <w:rPr>
                <w:rFonts w:ascii="Calibri" w:eastAsia="Times New Roman" w:hAnsi="Calibri" w:cs="Calibri"/>
                <w:kern w:val="0"/>
                <w:lang w:eastAsia="en-GB"/>
                <w14:ligatures w14:val="none"/>
              </w:rPr>
              <w:lastRenderedPageBreak/>
              <w:t>• Mandating Impact Assessment: From FY2024-25, REs are required to conduct an Impact Assessment Report to quantify the environmental benefits of the funded projects, using illustrative indicators like GHG emissions avoided</w:t>
            </w:r>
            <w:r>
              <w:rPr>
                <w:rFonts w:ascii="Calibri" w:eastAsia="Times New Roman" w:hAnsi="Calibri" w:cs="Calibri"/>
                <w:kern w:val="0"/>
                <w:lang w:eastAsia="en-GB"/>
                <w14:ligatures w14:val="none"/>
              </w:rPr>
              <w:t xml:space="preserve"> [Paragraph E(10) &amp; Annex 1</w:t>
            </w:r>
            <w:r w:rsidRPr="00E65D34">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1E8143C3" w:rsidR="008C4722" w:rsidRPr="00CF2E7C" w:rsidRDefault="008B68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573A91F1" w:rsidR="007B7DEE" w:rsidRPr="00CF2E7C" w:rsidRDefault="008B68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CDEACB9" w14:textId="0F7EE3A0" w:rsidR="008B6832" w:rsidRDefault="008B6832" w:rsidP="008B6832">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allocation of proceeds from green deposits must be based on the official Indian green taxonomy, as outlined in Paragraph D(7). Please note, to facilitate this, the Ministry of Finance published a Draft Framework of India’s Climate Finance Taxonomy on 7th May 2025, inviting comments from stakeholders. </w:t>
            </w:r>
          </w:p>
          <w:p w14:paraId="110F108A" w14:textId="68296418" w:rsidR="008B6832" w:rsidRDefault="008B6832" w:rsidP="008B6832">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 the meantime, until the finalisation of the taxonomy, regulated entities are to allocate funds in accordance with the list of eligible green activities/projects provided in the policy tool at Paragraph D(7).</w:t>
            </w:r>
          </w:p>
          <w:p w14:paraId="42397B76" w14:textId="3595192A" w:rsidR="008B6832" w:rsidRPr="00CF2E7C" w:rsidRDefault="008B6832" w:rsidP="007E1737">
            <w:pPr>
              <w:jc w:val="both"/>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A6DE432" w:rsidR="00ED7E12" w:rsidRPr="00CF2E7C" w:rsidRDefault="0053032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62CB6393" w:rsidR="00ED7E12" w:rsidRPr="00CF2E7C" w:rsidRDefault="0053032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52834333" w:rsidR="00ED7E12" w:rsidRPr="00CF2E7C" w:rsidRDefault="0053032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382BD10" w14:textId="019A67D9" w:rsidR="00EE6688" w:rsidRDefault="00EE6688" w:rsidP="00EE668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Internal Frameworks and Public Disclosure: RE’s are mandated to establish a comprehensive Board-approved policy on green deposits and a Board-approved Financing Framework (FF). Both documents must be publicly available on the RE’s website (Paragraph B(3) &amp; (4)).</w:t>
            </w:r>
          </w:p>
          <w:p w14:paraId="12316D54" w14:textId="28A9974C" w:rsidR="00EE6688" w:rsidRDefault="00EE6688" w:rsidP="00EE668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Fund Allocation and Verification: The allocation of funds raised through green deposits by Regulated Entities during a financial year shall be subject to an annual independent third-party verification/assurance. This report must be published on the RE’s website (Paragraph E(8) &amp; (10)).</w:t>
            </w:r>
          </w:p>
          <w:p w14:paraId="4ACE90C2" w14:textId="56FB7EAF" w:rsidR="00EE6688" w:rsidRDefault="00EE6688" w:rsidP="00EE668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Impact Assessment Reports: With the assistance of external firms, RE’s are required to draft an Impact Assessment report regarding the funds lent for or invested in green finance activities/projects. This report must be published on the RE’s website (Paragraph E(10)).</w:t>
            </w:r>
          </w:p>
          <w:p w14:paraId="69A4B6E3" w14:textId="64CD6EA6" w:rsidR="00EE6688" w:rsidRDefault="00EE6688" w:rsidP="00EE668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Review Reports: RE’s must submit a review report to their Board of Directors within 3 months of the end of the financial year (Paragraph F(11)).</w:t>
            </w:r>
          </w:p>
          <w:p w14:paraId="4A9CB2BA" w14:textId="77777777" w:rsidR="00EE6688" w:rsidRDefault="00EE6688" w:rsidP="00EE668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Portfolio-Level Disclosures: Appropriate disclosures in the RE’s Annual Financial Statements concerning the utilisation of green deposit funds at the portfolio level must be made. The proforma for this is specified in Annex 2 of the policy tool (Paragraph F(12)).</w:t>
            </w:r>
          </w:p>
          <w:p w14:paraId="55810EA5" w14:textId="3683A21D" w:rsidR="00EE6688" w:rsidRDefault="00EE6688" w:rsidP="00EE668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EE6688">
              <w:rPr>
                <w:rFonts w:ascii="Calibri" w:eastAsia="Times New Roman" w:hAnsi="Calibri" w:cs="Calibri"/>
                <w:kern w:val="0"/>
                <w:lang w:eastAsia="en-GB"/>
                <w14:ligatures w14:val="none"/>
              </w:rPr>
              <w:t>The responsibility of supervision of Housing Financial Companies is vested with the National Housing Bank. [Paragraph 114 of the Master Direction– Non-Banking Financial Company – Housing Finance Company (Reserve Bank) Directions, 2021]</w:t>
            </w:r>
          </w:p>
          <w:p w14:paraId="42FF8A1B" w14:textId="6F09078A" w:rsidR="00EE6688" w:rsidRPr="00CF2E7C" w:rsidRDefault="00EE6688" w:rsidP="007E1737">
            <w:pPr>
              <w:jc w:val="both"/>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0648DF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8260B">
              <w:rPr>
                <w:rFonts w:ascii="Calibri" w:eastAsia="Times New Roman" w:hAnsi="Calibri" w:cs="Calibri"/>
                <w:kern w:val="0"/>
                <w:lang w:eastAsia="en-GB"/>
                <w14:ligatures w14:val="none"/>
              </w:rPr>
              <w:t>X</w:t>
            </w:r>
          </w:p>
        </w:tc>
      </w:tr>
      <w:tr w:rsidR="0048260B" w:rsidRPr="009C4D10" w14:paraId="73E5866B" w14:textId="77777777" w:rsidTr="007E173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hideMark/>
          </w:tcPr>
          <w:p w14:paraId="5718F7C1" w14:textId="02C95E14" w:rsidR="0048260B" w:rsidRPr="00CF2E7C" w:rsidRDefault="0048260B" w:rsidP="0048260B">
            <w:pPr>
              <w:textAlignment w:val="baseline"/>
              <w:rPr>
                <w:rFonts w:ascii="Calibri" w:eastAsia="Times New Roman" w:hAnsi="Calibri" w:cs="Calibri"/>
                <w:kern w:val="0"/>
                <w:lang w:eastAsia="en-GB"/>
                <w14:ligatures w14:val="none"/>
              </w:rPr>
            </w:pPr>
            <w:r w:rsidRPr="00E91410">
              <w:rPr>
                <w:rFonts w:ascii="Calibri" w:eastAsia="Times New Roman" w:hAnsi="Calibri" w:cs="Calibri"/>
                <w:kern w:val="0"/>
                <w:lang w:eastAsia="en-GB"/>
                <w14:ligatures w14:val="none"/>
              </w:rPr>
              <w:t>X</w:t>
            </w:r>
          </w:p>
        </w:tc>
      </w:tr>
      <w:tr w:rsidR="0048260B" w:rsidRPr="009C4D10" w14:paraId="045282B9" w14:textId="77777777" w:rsidTr="007E173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hideMark/>
          </w:tcPr>
          <w:p w14:paraId="75D4EB44" w14:textId="4364A4B2" w:rsidR="0048260B" w:rsidRPr="00CF2E7C" w:rsidRDefault="0048260B" w:rsidP="0048260B">
            <w:pPr>
              <w:textAlignment w:val="baseline"/>
              <w:rPr>
                <w:rFonts w:ascii="Calibri" w:eastAsia="Times New Roman" w:hAnsi="Calibri" w:cs="Calibri"/>
                <w:kern w:val="0"/>
                <w:lang w:eastAsia="en-GB"/>
                <w14:ligatures w14:val="none"/>
              </w:rPr>
            </w:pPr>
            <w:r w:rsidRPr="00E91410">
              <w:rPr>
                <w:rFonts w:ascii="Calibri" w:eastAsia="Times New Roman" w:hAnsi="Calibri" w:cs="Calibri"/>
                <w:kern w:val="0"/>
                <w:lang w:eastAsia="en-GB"/>
                <w14:ligatures w14:val="none"/>
              </w:rPr>
              <w:t>X</w:t>
            </w:r>
          </w:p>
        </w:tc>
      </w:tr>
      <w:tr w:rsidR="0048260B" w:rsidRPr="009C4D10" w14:paraId="7A79BD9F" w14:textId="77777777" w:rsidTr="007E173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hideMark/>
          </w:tcPr>
          <w:p w14:paraId="777C669E" w14:textId="678CE0A4" w:rsidR="0048260B" w:rsidRPr="00CF2E7C" w:rsidRDefault="0048260B" w:rsidP="0048260B">
            <w:pPr>
              <w:textAlignment w:val="baseline"/>
              <w:rPr>
                <w:rFonts w:ascii="Calibri" w:eastAsia="Times New Roman" w:hAnsi="Calibri" w:cs="Calibri"/>
                <w:kern w:val="0"/>
                <w:lang w:eastAsia="en-GB"/>
                <w14:ligatures w14:val="none"/>
              </w:rPr>
            </w:pPr>
            <w:r w:rsidRPr="00E91410">
              <w:rPr>
                <w:rFonts w:ascii="Calibri" w:eastAsia="Times New Roman" w:hAnsi="Calibri" w:cs="Calibri"/>
                <w:kern w:val="0"/>
                <w:lang w:eastAsia="en-GB"/>
                <w14:ligatures w14:val="none"/>
              </w:rPr>
              <w:t>X</w:t>
            </w:r>
          </w:p>
        </w:tc>
      </w:tr>
      <w:tr w:rsidR="0048260B" w:rsidRPr="009C4D10" w14:paraId="3AF695D3" w14:textId="77777777" w:rsidTr="007E173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hideMark/>
          </w:tcPr>
          <w:p w14:paraId="68951940" w14:textId="79A4FC94" w:rsidR="0048260B" w:rsidRPr="00CF2E7C" w:rsidRDefault="0048260B" w:rsidP="0048260B">
            <w:pPr>
              <w:textAlignment w:val="baseline"/>
              <w:rPr>
                <w:rFonts w:ascii="Calibri" w:eastAsia="Times New Roman" w:hAnsi="Calibri" w:cs="Calibri"/>
                <w:kern w:val="0"/>
                <w:lang w:eastAsia="en-GB"/>
                <w14:ligatures w14:val="none"/>
              </w:rPr>
            </w:pPr>
            <w:r w:rsidRPr="00E91410">
              <w:rPr>
                <w:rFonts w:ascii="Calibri" w:eastAsia="Times New Roman" w:hAnsi="Calibri" w:cs="Calibri"/>
                <w:kern w:val="0"/>
                <w:lang w:eastAsia="en-GB"/>
                <w14:ligatures w14:val="none"/>
              </w:rPr>
              <w:t>X</w:t>
            </w:r>
          </w:p>
        </w:tc>
      </w:tr>
      <w:tr w:rsidR="0048260B" w:rsidRPr="009C4D10" w14:paraId="2FD170EE" w14:textId="77777777" w:rsidTr="007E173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48260B" w:rsidRPr="00CF2E7C" w:rsidRDefault="0048260B" w:rsidP="0048260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hideMark/>
          </w:tcPr>
          <w:p w14:paraId="5C93DEA6" w14:textId="0068FCDF" w:rsidR="0048260B" w:rsidRPr="00CF2E7C" w:rsidRDefault="0048260B" w:rsidP="0048260B">
            <w:pPr>
              <w:textAlignment w:val="baseline"/>
              <w:rPr>
                <w:rFonts w:ascii="Calibri" w:eastAsia="Times New Roman" w:hAnsi="Calibri" w:cs="Calibri"/>
                <w:kern w:val="0"/>
                <w:lang w:eastAsia="en-GB"/>
                <w14:ligatures w14:val="none"/>
              </w:rPr>
            </w:pPr>
            <w:r w:rsidRPr="00E91410">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646AF4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8260B">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6FB50D7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E8BCC62" w14:textId="1BEDE46F" w:rsidR="0048260B" w:rsidRPr="007E1737" w:rsidRDefault="0048260B" w:rsidP="007E1737">
            <w:pPr>
              <w:pStyle w:val="ListParagraph"/>
              <w:numPr>
                <w:ilvl w:val="0"/>
                <w:numId w:val="52"/>
              </w:numPr>
              <w:jc w:val="both"/>
              <w:textAlignment w:val="baseline"/>
              <w:rPr>
                <w:rFonts w:ascii="Calibri" w:eastAsia="Times New Roman" w:hAnsi="Calibri" w:cs="Calibri"/>
                <w:kern w:val="0"/>
                <w:lang w:eastAsia="en-GB"/>
                <w14:ligatures w14:val="none"/>
              </w:rPr>
            </w:pPr>
            <w:r w:rsidRPr="007E1737">
              <w:rPr>
                <w:rFonts w:ascii="Calibri" w:eastAsia="Times New Roman" w:hAnsi="Calibri" w:cs="Calibri"/>
                <w:kern w:val="0"/>
                <w:lang w:eastAsia="en-GB"/>
                <w14:ligatures w14:val="none"/>
              </w:rPr>
              <w:t>The Regulated Entities are required to identify projects suitable for lending or investing, adhering to the eligibility criteria. This involves monitoring and validating the sustainability information provided by the borrower. [Paragraph C(5)(ii)]</w:t>
            </w:r>
          </w:p>
          <w:p w14:paraId="5F8CE2B3" w14:textId="6F6024CD" w:rsidR="0048260B" w:rsidRPr="007E1737" w:rsidRDefault="0048260B" w:rsidP="007E1737">
            <w:pPr>
              <w:pStyle w:val="ListParagraph"/>
              <w:numPr>
                <w:ilvl w:val="0"/>
                <w:numId w:val="52"/>
              </w:numPr>
              <w:jc w:val="both"/>
              <w:textAlignment w:val="baseline"/>
              <w:rPr>
                <w:rFonts w:ascii="Calibri" w:eastAsia="Times New Roman" w:hAnsi="Calibri" w:cs="Calibri"/>
                <w:kern w:val="0"/>
                <w:lang w:eastAsia="en-GB"/>
                <w14:ligatures w14:val="none"/>
              </w:rPr>
            </w:pPr>
            <w:r w:rsidRPr="007E1737">
              <w:rPr>
                <w:rFonts w:ascii="Calibri" w:eastAsia="Times New Roman" w:hAnsi="Calibri" w:cs="Calibri"/>
                <w:kern w:val="0"/>
                <w:lang w:eastAsia="en-GB"/>
                <w14:ligatures w14:val="none"/>
              </w:rPr>
              <w:t>Climate-related risks, which the Regulated Entity aims to mitigate by allocating funds to projects addressing them, are incorporated into their risk management structure through the offering of green deposits. [Paragraphs D(7)]</w:t>
            </w:r>
          </w:p>
          <w:p w14:paraId="27E9CD14" w14:textId="24A4C041" w:rsidR="0048260B" w:rsidRPr="007E1737" w:rsidRDefault="0048260B" w:rsidP="007E1737">
            <w:pPr>
              <w:pStyle w:val="ListParagraph"/>
              <w:numPr>
                <w:ilvl w:val="0"/>
                <w:numId w:val="52"/>
              </w:numPr>
              <w:jc w:val="both"/>
              <w:textAlignment w:val="baseline"/>
              <w:rPr>
                <w:rFonts w:ascii="Calibri" w:eastAsia="Times New Roman" w:hAnsi="Calibri" w:cs="Calibri"/>
                <w:kern w:val="0"/>
                <w:lang w:eastAsia="en-GB"/>
                <w14:ligatures w14:val="none"/>
              </w:rPr>
            </w:pPr>
            <w:r w:rsidRPr="007E1737">
              <w:rPr>
                <w:rFonts w:ascii="Calibri" w:eastAsia="Times New Roman" w:hAnsi="Calibri" w:cs="Calibri"/>
                <w:kern w:val="0"/>
                <w:lang w:eastAsia="en-GB"/>
                <w14:ligatures w14:val="none"/>
              </w:rPr>
              <w:t>The policy on green deposits must be presented to the Board, and the review report is also required to be submitted. [Paragraphs B(4) and F(11)] Additionally, the fact that policy and internal controls evaluate the management of proceeds demonstrates the integration of climate-related risks into the governance of the targeted entity. [Paragraph E(9)(ii)]</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20306169" w:rsidR="00C82860" w:rsidRPr="00CF2E7C" w:rsidRDefault="00C563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946E413" w14:textId="77777777" w:rsidR="00230A26" w:rsidRDefault="00230A26" w:rsidP="00230A26">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Internal Frameworks and Public Disclosure: RE’s are mandated to establish a comprehensive Board-approved policy on green deposits and a Board-approved Financing Framework (FF). Both documents must be publicly available on the RE’s website (Paragraph B(3) &amp; (4)).</w:t>
            </w:r>
          </w:p>
          <w:p w14:paraId="1FA86D6B" w14:textId="77777777" w:rsidR="00230A26" w:rsidRDefault="00230A26" w:rsidP="00230A26">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Fund Allocation and Verification: The allocation of funds raised through green deposits by Regulated Entities during a financial year shall be subject to an annual independent third-party verification/assurance. This report must be published on the RE’s website (Paragraph E(8) &amp; (10)).</w:t>
            </w:r>
          </w:p>
          <w:p w14:paraId="1B7A6469" w14:textId="77777777" w:rsidR="00230A26" w:rsidRDefault="00230A26" w:rsidP="00230A26">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Impact Assessment Reports: With the assistance of external firms, RE’s are required to draft an Impact Assessment report regarding the funds lent for or invested in green finance activities/projects. This report must be published on the RE’s website (Paragraph E(10)).</w:t>
            </w:r>
          </w:p>
          <w:p w14:paraId="416ACF02" w14:textId="77777777" w:rsidR="00230A26" w:rsidRDefault="00230A26" w:rsidP="00230A26">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Review Reports: RE’s must submit a review report to their Board of Directors within 3 months of the end of the financial year (Paragraph F(11)).</w:t>
            </w:r>
          </w:p>
          <w:p w14:paraId="4DEB14D8" w14:textId="2F4085EA" w:rsidR="00C82860" w:rsidRPr="00CF2E7C" w:rsidRDefault="00230A26" w:rsidP="007E17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Portfolio-Level Disclosures: Appropriate disclosures in the RE’s Annual Financial Statements concerning the utilisation of green deposit funds at the portfolio level must be made. The proforma for this is specified in Annex 2 of the policy tool (Paragraph F(12)).</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3960D477" w:rsidR="00C82860" w:rsidRPr="00CF2E7C" w:rsidRDefault="00CA4A2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BBDDB8" w14:textId="6F76CC11" w:rsidR="00C82860" w:rsidRDefault="00CA4A29" w:rsidP="007E17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This is part of the Board-approved Financing Framework (FF) that Regulated Entities (REs) must follow. The FF </w:t>
            </w:r>
            <w:r w:rsidR="00786312">
              <w:rPr>
                <w:rFonts w:ascii="Calibri" w:eastAsia="Times New Roman" w:hAnsi="Calibri" w:cs="Calibri"/>
                <w:kern w:val="0"/>
                <w:lang w:eastAsia="en-GB"/>
                <w14:ligatures w14:val="none"/>
              </w:rPr>
              <w:t xml:space="preserve">at </w:t>
            </w:r>
            <w:r>
              <w:rPr>
                <w:rFonts w:ascii="Calibri" w:eastAsia="Times New Roman" w:hAnsi="Calibri" w:cs="Calibri"/>
                <w:kern w:val="0"/>
                <w:lang w:eastAsia="en-GB"/>
                <w14:ligatures w14:val="none"/>
              </w:rPr>
              <w:t>Paragraph C(5)(ii)</w:t>
            </w:r>
            <w:r w:rsidR="00786312">
              <w:rPr>
                <w:rFonts w:ascii="Calibri" w:eastAsia="Times New Roman" w:hAnsi="Calibri" w:cs="Calibri"/>
                <w:kern w:val="0"/>
                <w:lang w:eastAsia="en-GB"/>
                <w14:ligatures w14:val="none"/>
              </w:rPr>
              <w:t xml:space="preserve"> covers</w:t>
            </w:r>
            <w:r>
              <w:rPr>
                <w:rFonts w:ascii="Calibri" w:eastAsia="Times New Roman" w:hAnsi="Calibri" w:cs="Calibri"/>
                <w:kern w:val="0"/>
                <w:lang w:eastAsia="en-GB"/>
                <w14:ligatures w14:val="none"/>
              </w:rPr>
              <w:t>:</w:t>
            </w:r>
          </w:p>
          <w:p w14:paraId="784AFCD9" w14:textId="77777777" w:rsidR="00CA4A29" w:rsidRDefault="00CA4A29" w:rsidP="007E17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The process for REs to evaluate and select projects based on climate-related or environmental objectives. This requires assessing whether a proposed project aligns with the defined “green activities/projects” and contributes to specific environmental goals like “climate risk mitigation, climate adaptation and resilience, and other climate-related or environmental objectives - including biodiversity management and nature-based solutions”.</w:t>
            </w:r>
          </w:p>
          <w:p w14:paraId="68CC4109" w14:textId="77777777" w:rsidR="00CA4A29" w:rsidRDefault="00CA4A29" w:rsidP="007E17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Identifying projects fit for lending/investing within eligible categories, monitoring and validating the sustainability information provided by borrowers. This requires REs to conduct due diligence on the environmental credentials of the borrower’s proposed project and verify the accuracy of the sustainability information submitted. This step is crucial to prevent greenwashing and ensure funds are allocated to impactful green initiatives.</w:t>
            </w:r>
          </w:p>
          <w:p w14:paraId="5464A3A5" w14:textId="6FD30964" w:rsidR="00CA4A29" w:rsidRPr="00CF2E7C" w:rsidRDefault="00CA4A29" w:rsidP="00CA4A29">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56B99BE0" w:rsidR="00C82860" w:rsidRPr="00CF2E7C" w:rsidRDefault="00C024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02428" w:rsidRPr="009C4D10" w14:paraId="1B7CF6B6" w14:textId="77777777" w:rsidTr="007E173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02428" w:rsidRPr="00CF2E7C" w:rsidRDefault="00C02428" w:rsidP="00C02428">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hideMark/>
          </w:tcPr>
          <w:p w14:paraId="135769A7" w14:textId="299DC84E" w:rsidR="00C02428" w:rsidRPr="00CF2E7C" w:rsidRDefault="00C02428" w:rsidP="00C02428">
            <w:pPr>
              <w:textAlignment w:val="baseline"/>
              <w:rPr>
                <w:rFonts w:ascii="Calibri" w:eastAsia="Times New Roman" w:hAnsi="Calibri" w:cs="Calibri"/>
                <w:kern w:val="0"/>
                <w:lang w:eastAsia="en-GB"/>
                <w14:ligatures w14:val="none"/>
              </w:rPr>
            </w:pPr>
            <w:r w:rsidRPr="006A68B5">
              <w:rPr>
                <w:rFonts w:ascii="Calibri" w:eastAsia="Times New Roman" w:hAnsi="Calibri" w:cs="Calibri"/>
                <w:kern w:val="0"/>
                <w:lang w:val="en-SG" w:eastAsia="en-GB"/>
                <w14:ligatures w14:val="none"/>
              </w:rPr>
              <w:t>X</w:t>
            </w:r>
          </w:p>
        </w:tc>
      </w:tr>
      <w:tr w:rsidR="00C02428" w:rsidRPr="009C4D10" w14:paraId="26AD2862" w14:textId="77777777" w:rsidTr="007E173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hideMark/>
          </w:tcPr>
          <w:p w14:paraId="059E5846" w14:textId="251A17BA" w:rsidR="00C02428" w:rsidRPr="00CF2E7C" w:rsidRDefault="00C02428" w:rsidP="00C02428">
            <w:pPr>
              <w:textAlignment w:val="baseline"/>
              <w:rPr>
                <w:rFonts w:ascii="Calibri" w:eastAsia="Times New Roman" w:hAnsi="Calibri" w:cs="Calibri"/>
                <w:kern w:val="0"/>
                <w:lang w:eastAsia="en-GB"/>
                <w14:ligatures w14:val="none"/>
              </w:rPr>
            </w:pPr>
            <w:r w:rsidRPr="006A68B5">
              <w:rPr>
                <w:rFonts w:ascii="Calibri" w:eastAsia="Times New Roman" w:hAnsi="Calibri" w:cs="Calibri"/>
                <w:kern w:val="0"/>
                <w:lang w:val="en-SG" w:eastAsia="en-GB"/>
                <w14:ligatures w14:val="none"/>
              </w:rPr>
              <w:t>X</w:t>
            </w:r>
          </w:p>
        </w:tc>
      </w:tr>
      <w:tr w:rsidR="00C02428" w:rsidRPr="009C4D10" w14:paraId="66EF45D2" w14:textId="77777777" w:rsidTr="007E173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hideMark/>
          </w:tcPr>
          <w:p w14:paraId="10995F72" w14:textId="750D07AB" w:rsidR="00C02428" w:rsidRPr="00CF2E7C" w:rsidRDefault="00C02428" w:rsidP="00C02428">
            <w:pPr>
              <w:textAlignment w:val="baseline"/>
              <w:rPr>
                <w:rFonts w:ascii="Calibri" w:eastAsia="Times New Roman" w:hAnsi="Calibri" w:cs="Calibri"/>
                <w:kern w:val="0"/>
                <w:lang w:eastAsia="en-GB"/>
                <w14:ligatures w14:val="none"/>
              </w:rPr>
            </w:pPr>
            <w:r w:rsidRPr="006A68B5">
              <w:rPr>
                <w:rFonts w:ascii="Calibri" w:eastAsia="Times New Roman" w:hAnsi="Calibri" w:cs="Calibri"/>
                <w:kern w:val="0"/>
                <w:lang w:val="en-SG" w:eastAsia="en-GB"/>
                <w14:ligatures w14:val="none"/>
              </w:rPr>
              <w:t>X</w:t>
            </w:r>
          </w:p>
        </w:tc>
      </w:tr>
      <w:tr w:rsidR="00C02428" w:rsidRPr="009C4D10" w14:paraId="25602148" w14:textId="77777777" w:rsidTr="007E173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02428" w:rsidRPr="00CF2E7C" w:rsidRDefault="00C02428" w:rsidP="00C0242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hideMark/>
          </w:tcPr>
          <w:p w14:paraId="681FC1F1" w14:textId="0FEC27CE" w:rsidR="00C02428" w:rsidRPr="00CF2E7C" w:rsidRDefault="00C02428" w:rsidP="00C02428">
            <w:pPr>
              <w:textAlignment w:val="baseline"/>
              <w:rPr>
                <w:rFonts w:ascii="Calibri" w:eastAsia="Times New Roman" w:hAnsi="Calibri" w:cs="Calibri"/>
                <w:kern w:val="0"/>
                <w:lang w:eastAsia="en-GB"/>
                <w14:ligatures w14:val="none"/>
              </w:rPr>
            </w:pPr>
            <w:r w:rsidRPr="006A68B5">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23CF6646" w:rsidR="00702413" w:rsidRPr="009C4D10" w:rsidRDefault="0086504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No, the survey covered every aspect related to the prudential policy tool. The policy tool is currently in the development stage to create a “green finance ecosystem”. </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60FD3599" w14:textId="71BFC6E6" w:rsidR="00702413" w:rsidRDefault="0086504A" w:rsidP="007E1737">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In the absence of a finalised official Indian green taxonomy, although the eligibility criteria ha</w:t>
            </w:r>
            <w:r w:rsidR="00732536">
              <w:rPr>
                <w:rFonts w:eastAsia="Times New Roman" w:cstheme="minorHAnsi"/>
                <w:kern w:val="0"/>
                <w:lang w:eastAsia="en-GB"/>
                <w14:ligatures w14:val="none"/>
              </w:rPr>
              <w:t>s</w:t>
            </w:r>
            <w:r>
              <w:rPr>
                <w:rFonts w:eastAsia="Times New Roman" w:cstheme="minorHAnsi"/>
                <w:kern w:val="0"/>
                <w:lang w:eastAsia="en-GB"/>
                <w14:ligatures w14:val="none"/>
              </w:rPr>
              <w:t xml:space="preserve"> been laid out, there is a possibility of uncertainty regarding what constitutes a ‘green activity’.  This uncertainty could lead to increased operational and financial costs for the targeted entities, </w:t>
            </w:r>
            <w:r>
              <w:rPr>
                <w:rFonts w:eastAsia="Times New Roman" w:cstheme="minorHAnsi"/>
                <w:kern w:val="0"/>
                <w:lang w:eastAsia="en-GB"/>
                <w14:ligatures w14:val="none"/>
              </w:rPr>
              <w:lastRenderedPageBreak/>
              <w:t>as they would be required to draft and publish annual third-party verification and impact reports.  This might disincentivise them from offering green bonds, as it is not mandatory for them to do so.</w:t>
            </w:r>
          </w:p>
          <w:p w14:paraId="718D87F5" w14:textId="43FC7AFF" w:rsidR="0086504A" w:rsidRPr="009C4D10" w:rsidRDefault="0086504A" w:rsidP="0086504A">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359A66C4" w:rsidR="00FE0EA5" w:rsidRPr="009C4D10" w:rsidRDefault="00FE0EA5" w:rsidP="00CF2E7C">
            <w:pPr>
              <w:rPr>
                <w:rFonts w:cstheme="minorHAnsi"/>
              </w:rPr>
            </w:pPr>
            <w:r w:rsidRPr="009C4D10">
              <w:rPr>
                <w:rFonts w:cstheme="minorHAnsi"/>
                <w:lang w:val="en-SG"/>
              </w:rPr>
              <w:t> </w:t>
            </w:r>
            <w:r w:rsidRPr="009C4D10">
              <w:rPr>
                <w:rFonts w:cstheme="minorHAnsi"/>
              </w:rPr>
              <w:t> </w:t>
            </w:r>
            <w:r w:rsidR="004F0BCF">
              <w:rPr>
                <w:rFonts w:cstheme="minorHAnsi"/>
              </w:rPr>
              <w:t>X</w:t>
            </w:r>
          </w:p>
        </w:tc>
      </w:tr>
      <w:tr w:rsidR="004F0BCF" w:rsidRPr="009C4D10" w14:paraId="1DA7E5D4" w14:textId="77777777" w:rsidTr="007E173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4F0BCF" w:rsidRPr="009C4D10" w:rsidRDefault="004F0BCF" w:rsidP="004F0BCF">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4F0BCF" w:rsidRPr="009C4D10" w:rsidRDefault="004F0BCF" w:rsidP="004F0BCF">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4F0BCF" w:rsidRPr="009C4D10" w:rsidRDefault="004F0BCF" w:rsidP="004F0BCF">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4F0BCF" w:rsidRPr="009C4D10" w:rsidRDefault="004F0BCF" w:rsidP="004F0BCF">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469001F5" w14:textId="260932B1" w:rsidR="004F0BCF" w:rsidRPr="009C4D10" w:rsidRDefault="004F0BCF" w:rsidP="004F0BCF">
            <w:pPr>
              <w:rPr>
                <w:rFonts w:cstheme="minorHAnsi"/>
              </w:rPr>
            </w:pPr>
            <w:r w:rsidRPr="0063084D">
              <w:rPr>
                <w:rFonts w:cstheme="minorHAnsi"/>
              </w:rPr>
              <w:t>X</w:t>
            </w:r>
          </w:p>
        </w:tc>
      </w:tr>
      <w:tr w:rsidR="004F0BCF" w:rsidRPr="009C4D10" w14:paraId="420471D0" w14:textId="77777777" w:rsidTr="007E173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4F0BCF" w:rsidRPr="009C4D10" w:rsidRDefault="004F0BCF" w:rsidP="004F0BCF">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4F0BCF" w:rsidRPr="009C4D10" w:rsidRDefault="004F0BCF" w:rsidP="004F0BCF">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4F0BCF" w:rsidRPr="009C4D10" w:rsidRDefault="004F0BCF" w:rsidP="004F0BCF">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4F0BCF" w:rsidRPr="009C4D10" w:rsidRDefault="004F0BCF" w:rsidP="004F0BCF">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628FCEFC" w14:textId="4574BC3E" w:rsidR="004F0BCF" w:rsidRPr="009C4D10" w:rsidRDefault="004F0BCF" w:rsidP="004F0BCF">
            <w:pPr>
              <w:rPr>
                <w:rFonts w:cstheme="minorHAnsi"/>
              </w:rPr>
            </w:pPr>
            <w:r w:rsidRPr="0063084D">
              <w:rPr>
                <w:rFonts w:cstheme="minorHAnsi"/>
              </w:rPr>
              <w:t>X</w:t>
            </w:r>
          </w:p>
        </w:tc>
      </w:tr>
      <w:tr w:rsidR="004F0BCF" w:rsidRPr="009C4D10" w14:paraId="6804638F" w14:textId="77777777" w:rsidTr="007E173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4F0BCF" w:rsidRPr="009C4D10" w:rsidRDefault="004F0BCF" w:rsidP="004F0BCF">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4F0BCF" w:rsidRPr="009C4D10" w:rsidRDefault="004F0BCF" w:rsidP="004F0BCF">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4F0BCF" w:rsidRPr="009C4D10" w:rsidRDefault="004F0BCF" w:rsidP="004F0BCF">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4F0BCF" w:rsidRPr="009C4D10" w:rsidRDefault="004F0BCF" w:rsidP="004F0BCF">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6020DE7E" w14:textId="364D98D4" w:rsidR="004F0BCF" w:rsidRPr="009C4D10" w:rsidRDefault="004F0BCF" w:rsidP="004F0BCF">
            <w:pPr>
              <w:rPr>
                <w:rFonts w:cstheme="minorHAnsi"/>
              </w:rPr>
            </w:pPr>
            <w:r w:rsidRPr="0063084D">
              <w:rPr>
                <w:rFonts w:cstheme="minorHAnsi"/>
              </w:rPr>
              <w:t>X</w:t>
            </w:r>
          </w:p>
        </w:tc>
      </w:tr>
      <w:tr w:rsidR="004F0BCF" w:rsidRPr="009C4D10" w14:paraId="363F8477" w14:textId="77777777" w:rsidTr="007E173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4F0BCF" w:rsidRPr="009C4D10" w:rsidRDefault="004F0BCF" w:rsidP="004F0BCF">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4F0BCF" w:rsidRPr="009C4D10" w:rsidRDefault="004F0BCF" w:rsidP="004F0BCF">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4F0BCF" w:rsidRPr="009C4D10" w:rsidRDefault="004F0BCF" w:rsidP="004F0BCF">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4F0BCF" w:rsidRPr="009C4D10" w:rsidRDefault="004F0BCF" w:rsidP="004F0BCF">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71326AFE" w14:textId="6E9F39DB" w:rsidR="004F0BCF" w:rsidRPr="009C4D10" w:rsidRDefault="004F0BCF" w:rsidP="004F0BCF">
            <w:pPr>
              <w:rPr>
                <w:rFonts w:cstheme="minorHAnsi"/>
              </w:rPr>
            </w:pPr>
            <w:r w:rsidRPr="0063084D">
              <w:rPr>
                <w:rFonts w:cstheme="minorHAnsi"/>
              </w:rPr>
              <w:t>X</w:t>
            </w:r>
          </w:p>
        </w:tc>
      </w:tr>
      <w:tr w:rsidR="004F0BCF" w:rsidRPr="009C4D10" w14:paraId="768B832A" w14:textId="77777777" w:rsidTr="007E173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4F0BCF" w:rsidRPr="009C4D10" w:rsidRDefault="004F0BCF" w:rsidP="004F0BCF">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4F0BCF" w:rsidRPr="009C4D10" w:rsidRDefault="004F0BCF" w:rsidP="004F0BCF">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4F0BCF" w:rsidRPr="009C4D10" w:rsidRDefault="004F0BCF" w:rsidP="004F0BCF">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4F0BCF" w:rsidRPr="009C4D10" w:rsidRDefault="004F0BCF" w:rsidP="004F0BCF">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6C042850" w14:textId="36276170" w:rsidR="004F0BCF" w:rsidRPr="009C4D10" w:rsidRDefault="004F0BCF" w:rsidP="004F0BCF">
            <w:pPr>
              <w:rPr>
                <w:rFonts w:cstheme="minorHAnsi"/>
              </w:rPr>
            </w:pPr>
            <w:r w:rsidRPr="0063084D">
              <w:rPr>
                <w:rFonts w:cstheme="minorHAnsi"/>
              </w:rPr>
              <w:t>X</w:t>
            </w:r>
          </w:p>
        </w:tc>
      </w:tr>
      <w:tr w:rsidR="004F0BCF" w:rsidRPr="009C4D10" w14:paraId="60D061D6" w14:textId="77777777" w:rsidTr="007E173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4F0BCF" w:rsidRPr="009C4D10" w:rsidRDefault="004F0BCF" w:rsidP="004F0BCF">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4F0BCF" w:rsidRPr="009C4D10" w:rsidRDefault="004F0BCF" w:rsidP="004F0BCF">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4F0BCF" w:rsidRPr="009C4D10" w:rsidRDefault="004F0BCF" w:rsidP="004F0BCF">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4F0BCF" w:rsidRPr="009C4D10" w:rsidRDefault="004F0BCF" w:rsidP="004F0BCF">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095A1B27" w14:textId="4E09774A" w:rsidR="004F0BCF" w:rsidRPr="009C4D10" w:rsidRDefault="004F0BCF" w:rsidP="004F0BCF">
            <w:pPr>
              <w:rPr>
                <w:rFonts w:cstheme="minorHAnsi"/>
              </w:rPr>
            </w:pPr>
            <w:r w:rsidRPr="0063084D">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19EC0BF3" w14:textId="5468AF88" w:rsidR="004F0BCF" w:rsidRPr="004F0BCF" w:rsidRDefault="004F0BCF" w:rsidP="007E1737">
            <w:pPr>
              <w:jc w:val="both"/>
              <w:rPr>
                <w:rFonts w:cstheme="minorHAnsi"/>
              </w:rPr>
            </w:pPr>
            <w:bookmarkStart w:id="52" w:name="_Hlk204177854"/>
            <w:r w:rsidRPr="004F0BCF">
              <w:rPr>
                <w:rFonts w:cstheme="minorHAnsi"/>
              </w:rPr>
              <w:t>•</w:t>
            </w:r>
            <w:hyperlink r:id="rId26" w:history="1">
              <w:r w:rsidRPr="006E6129">
                <w:rPr>
                  <w:rStyle w:val="Hyperlink"/>
                  <w:rFonts w:cstheme="minorHAnsi"/>
                </w:rPr>
                <w:t>Master Direction - Reserve Bank of India (Interest Rate on Deposits) Directions, 2025</w:t>
              </w:r>
            </w:hyperlink>
          </w:p>
          <w:p w14:paraId="0F933602" w14:textId="4EAAF8E7" w:rsidR="004F0BCF" w:rsidRPr="004F0BCF" w:rsidRDefault="004F0BCF" w:rsidP="007E1737">
            <w:pPr>
              <w:jc w:val="both"/>
              <w:rPr>
                <w:rFonts w:cstheme="minorHAnsi"/>
              </w:rPr>
            </w:pPr>
            <w:r w:rsidRPr="004F0BCF">
              <w:rPr>
                <w:rFonts w:cstheme="minorHAnsi"/>
              </w:rPr>
              <w:t>•</w:t>
            </w:r>
            <w:hyperlink r:id="rId27" w:history="1">
              <w:r w:rsidRPr="00470581">
                <w:rPr>
                  <w:rStyle w:val="Hyperlink"/>
                  <w:rFonts w:cstheme="minorHAnsi"/>
                </w:rPr>
                <w:t>Master Direction - Non</w:t>
              </w:r>
              <w:r w:rsidR="00470581" w:rsidRPr="00470581">
                <w:rPr>
                  <w:rStyle w:val="Hyperlink"/>
                  <w:rFonts w:cstheme="minorHAnsi"/>
                </w:rPr>
                <w:t xml:space="preserve"> </w:t>
              </w:r>
              <w:r w:rsidRPr="00470581">
                <w:rPr>
                  <w:rStyle w:val="Hyperlink"/>
                  <w:rFonts w:cstheme="minorHAnsi"/>
                </w:rPr>
                <w:t>- Banking Financial Companies Acceptance of Public Deposits (Reserve Bank) Directions, 2016</w:t>
              </w:r>
            </w:hyperlink>
            <w:r w:rsidRPr="004F0BCF">
              <w:rPr>
                <w:rFonts w:cstheme="minorHAnsi"/>
              </w:rPr>
              <w:t xml:space="preserve"> </w:t>
            </w:r>
          </w:p>
          <w:p w14:paraId="7478C0BE" w14:textId="0244D929" w:rsidR="00C01AF9" w:rsidRPr="009C4D10" w:rsidRDefault="00F93D8D" w:rsidP="007E1737">
            <w:pPr>
              <w:jc w:val="both"/>
              <w:rPr>
                <w:rFonts w:cstheme="minorHAnsi"/>
              </w:rPr>
            </w:pPr>
            <w:hyperlink r:id="rId28" w:history="1">
              <w:r w:rsidR="004F0BCF" w:rsidRPr="00F93D8D">
                <w:rPr>
                  <w:rStyle w:val="Hyperlink"/>
                  <w:rFonts w:cstheme="minorHAnsi"/>
                </w:rPr>
                <w:t>•Master Direction - Non-Banking Financial Company – Housing Finance Company (Reserve Bank) Directions, 2021</w:t>
              </w:r>
              <w:bookmarkEnd w:id="52"/>
            </w:hyperlink>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FBEB64" w14:textId="77777777" w:rsidR="004C52F0" w:rsidRDefault="004C52F0" w:rsidP="00874E39">
      <w:r>
        <w:separator/>
      </w:r>
    </w:p>
  </w:endnote>
  <w:endnote w:type="continuationSeparator" w:id="0">
    <w:p w14:paraId="156F6219" w14:textId="77777777" w:rsidR="004C52F0" w:rsidRDefault="004C52F0" w:rsidP="00874E39">
      <w:r>
        <w:continuationSeparator/>
      </w:r>
    </w:p>
  </w:endnote>
  <w:endnote w:type="continuationNotice" w:id="1">
    <w:p w14:paraId="0FC430E4" w14:textId="77777777" w:rsidR="004C52F0" w:rsidRDefault="004C52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9DE505" w14:textId="77777777" w:rsidR="004C52F0" w:rsidRDefault="004C52F0" w:rsidP="00874E39">
      <w:r>
        <w:separator/>
      </w:r>
    </w:p>
  </w:footnote>
  <w:footnote w:type="continuationSeparator" w:id="0">
    <w:p w14:paraId="55224DE9" w14:textId="77777777" w:rsidR="004C52F0" w:rsidRDefault="004C52F0" w:rsidP="00874E39">
      <w:r>
        <w:continuationSeparator/>
      </w:r>
    </w:p>
  </w:footnote>
  <w:footnote w:type="continuationNotice" w:id="1">
    <w:p w14:paraId="310867D5" w14:textId="77777777" w:rsidR="004C52F0" w:rsidRDefault="004C52F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501" w:hanging="360"/>
      </w:pPr>
    </w:lvl>
    <w:lvl w:ilvl="1" w:tplc="8028F7AA">
      <w:start w:val="1"/>
      <w:numFmt w:val="lowerLetter"/>
      <w:lvlText w:val="%2."/>
      <w:lvlJc w:val="left"/>
      <w:pPr>
        <w:ind w:left="1221" w:hanging="360"/>
      </w:pPr>
    </w:lvl>
    <w:lvl w:ilvl="2" w:tplc="E10E78AC">
      <w:start w:val="1"/>
      <w:numFmt w:val="lowerRoman"/>
      <w:lvlText w:val="%3."/>
      <w:lvlJc w:val="right"/>
      <w:pPr>
        <w:ind w:left="1941" w:hanging="180"/>
      </w:pPr>
    </w:lvl>
    <w:lvl w:ilvl="3" w:tplc="CB6C810C">
      <w:start w:val="1"/>
      <w:numFmt w:val="decimal"/>
      <w:lvlText w:val="%4."/>
      <w:lvlJc w:val="left"/>
      <w:pPr>
        <w:ind w:left="2661" w:hanging="360"/>
      </w:pPr>
    </w:lvl>
    <w:lvl w:ilvl="4" w:tplc="40964A14">
      <w:start w:val="1"/>
      <w:numFmt w:val="lowerLetter"/>
      <w:lvlText w:val="%5."/>
      <w:lvlJc w:val="left"/>
      <w:pPr>
        <w:ind w:left="3381" w:hanging="360"/>
      </w:pPr>
    </w:lvl>
    <w:lvl w:ilvl="5" w:tplc="7942477E">
      <w:start w:val="1"/>
      <w:numFmt w:val="lowerRoman"/>
      <w:lvlText w:val="%6."/>
      <w:lvlJc w:val="right"/>
      <w:pPr>
        <w:ind w:left="4101" w:hanging="180"/>
      </w:pPr>
    </w:lvl>
    <w:lvl w:ilvl="6" w:tplc="12A0F3DE">
      <w:start w:val="1"/>
      <w:numFmt w:val="decimal"/>
      <w:lvlText w:val="%7."/>
      <w:lvlJc w:val="left"/>
      <w:pPr>
        <w:ind w:left="4821" w:hanging="360"/>
      </w:pPr>
    </w:lvl>
    <w:lvl w:ilvl="7" w:tplc="4A8407C6">
      <w:start w:val="1"/>
      <w:numFmt w:val="lowerLetter"/>
      <w:lvlText w:val="%8."/>
      <w:lvlJc w:val="left"/>
      <w:pPr>
        <w:ind w:left="5541" w:hanging="360"/>
      </w:pPr>
    </w:lvl>
    <w:lvl w:ilvl="8" w:tplc="B5922674">
      <w:start w:val="1"/>
      <w:numFmt w:val="lowerRoman"/>
      <w:lvlText w:val="%9."/>
      <w:lvlJc w:val="right"/>
      <w:pPr>
        <w:ind w:left="6261" w:hanging="180"/>
      </w:pPr>
    </w:lvl>
  </w:abstractNum>
  <w:abstractNum w:abstractNumId="1" w15:restartNumberingAfterBreak="0">
    <w:nsid w:val="02B45772"/>
    <w:multiLevelType w:val="hybridMultilevel"/>
    <w:tmpl w:val="5514414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1E9618D0"/>
    <w:multiLevelType w:val="hybridMultilevel"/>
    <w:tmpl w:val="217E64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2B94739"/>
    <w:multiLevelType w:val="hybridMultilevel"/>
    <w:tmpl w:val="5420E69E"/>
    <w:lvl w:ilvl="0" w:tplc="32C87A7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15:restartNumberingAfterBreak="0">
    <w:nsid w:val="24272B8D"/>
    <w:multiLevelType w:val="hybridMultilevel"/>
    <w:tmpl w:val="DE9241DC"/>
    <w:lvl w:ilvl="0" w:tplc="6408F9E8">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CB62C75"/>
    <w:multiLevelType w:val="hybridMultilevel"/>
    <w:tmpl w:val="49363486"/>
    <w:lvl w:ilvl="0" w:tplc="392246AA">
      <w:start w:val="16"/>
      <w:numFmt w:val="bullet"/>
      <w:lvlText w:val=""/>
      <w:lvlJc w:val="left"/>
      <w:pPr>
        <w:ind w:left="360" w:hanging="360"/>
      </w:pPr>
      <w:rPr>
        <w:rFonts w:ascii="Symbol" w:eastAsiaTheme="minorHAnsi" w:hAnsi="Symbol" w:cstheme="minorBid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AAA067E"/>
    <w:multiLevelType w:val="hybridMultilevel"/>
    <w:tmpl w:val="6F00AD8E"/>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E795BD9"/>
    <w:multiLevelType w:val="hybridMultilevel"/>
    <w:tmpl w:val="15DA97D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5" w15:restartNumberingAfterBreak="0">
    <w:nsid w:val="78B80A38"/>
    <w:multiLevelType w:val="hybridMultilevel"/>
    <w:tmpl w:val="7DDE1F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7"/>
  </w:num>
  <w:num w:numId="3" w16cid:durableId="690952733">
    <w:abstractNumId w:val="47"/>
  </w:num>
  <w:num w:numId="4" w16cid:durableId="1689330127">
    <w:abstractNumId w:val="2"/>
  </w:num>
  <w:num w:numId="5" w16cid:durableId="401291788">
    <w:abstractNumId w:val="32"/>
  </w:num>
  <w:num w:numId="6" w16cid:durableId="1276788690">
    <w:abstractNumId w:val="17"/>
  </w:num>
  <w:num w:numId="7" w16cid:durableId="566767730">
    <w:abstractNumId w:val="24"/>
  </w:num>
  <w:num w:numId="8" w16cid:durableId="1780710843">
    <w:abstractNumId w:val="39"/>
  </w:num>
  <w:num w:numId="9" w16cid:durableId="1685783054">
    <w:abstractNumId w:val="4"/>
  </w:num>
  <w:num w:numId="10" w16cid:durableId="950551298">
    <w:abstractNumId w:val="36"/>
  </w:num>
  <w:num w:numId="11" w16cid:durableId="1591960799">
    <w:abstractNumId w:val="54"/>
  </w:num>
  <w:num w:numId="12" w16cid:durableId="1344891410">
    <w:abstractNumId w:val="10"/>
  </w:num>
  <w:num w:numId="13" w16cid:durableId="2023899324">
    <w:abstractNumId w:val="13"/>
  </w:num>
  <w:num w:numId="14" w16cid:durableId="430587014">
    <w:abstractNumId w:val="8"/>
  </w:num>
  <w:num w:numId="15" w16cid:durableId="1742869061">
    <w:abstractNumId w:val="34"/>
  </w:num>
  <w:num w:numId="16" w16cid:durableId="1996450437">
    <w:abstractNumId w:val="23"/>
  </w:num>
  <w:num w:numId="17" w16cid:durableId="1529031027">
    <w:abstractNumId w:val="9"/>
  </w:num>
  <w:num w:numId="18" w16cid:durableId="568614617">
    <w:abstractNumId w:val="21"/>
  </w:num>
  <w:num w:numId="19" w16cid:durableId="1530605858">
    <w:abstractNumId w:val="48"/>
  </w:num>
  <w:num w:numId="20" w16cid:durableId="1328172586">
    <w:abstractNumId w:val="19"/>
  </w:num>
  <w:num w:numId="21" w16cid:durableId="184827816">
    <w:abstractNumId w:val="31"/>
  </w:num>
  <w:num w:numId="22" w16cid:durableId="1785346599">
    <w:abstractNumId w:val="38"/>
  </w:num>
  <w:num w:numId="23" w16cid:durableId="1294288901">
    <w:abstractNumId w:val="30"/>
  </w:num>
  <w:num w:numId="24" w16cid:durableId="1603957975">
    <w:abstractNumId w:val="50"/>
  </w:num>
  <w:num w:numId="25" w16cid:durableId="1659531047">
    <w:abstractNumId w:val="49"/>
  </w:num>
  <w:num w:numId="26" w16cid:durableId="752774403">
    <w:abstractNumId w:val="26"/>
  </w:num>
  <w:num w:numId="27" w16cid:durableId="347872198">
    <w:abstractNumId w:val="7"/>
  </w:num>
  <w:num w:numId="28" w16cid:durableId="537133110">
    <w:abstractNumId w:val="16"/>
  </w:num>
  <w:num w:numId="29" w16cid:durableId="1632318729">
    <w:abstractNumId w:val="52"/>
  </w:num>
  <w:num w:numId="30" w16cid:durableId="1268124074">
    <w:abstractNumId w:val="37"/>
  </w:num>
  <w:num w:numId="31" w16cid:durableId="887108748">
    <w:abstractNumId w:val="33"/>
  </w:num>
  <w:num w:numId="32" w16cid:durableId="1826125712">
    <w:abstractNumId w:val="40"/>
  </w:num>
  <w:num w:numId="33" w16cid:durableId="823357978">
    <w:abstractNumId w:val="44"/>
  </w:num>
  <w:num w:numId="34" w16cid:durableId="1092120443">
    <w:abstractNumId w:val="43"/>
  </w:num>
  <w:num w:numId="35" w16cid:durableId="124861188">
    <w:abstractNumId w:val="12"/>
  </w:num>
  <w:num w:numId="36" w16cid:durableId="1952588250">
    <w:abstractNumId w:val="42"/>
  </w:num>
  <w:num w:numId="37" w16cid:durableId="1712027211">
    <w:abstractNumId w:val="5"/>
  </w:num>
  <w:num w:numId="38" w16cid:durableId="2033795929">
    <w:abstractNumId w:val="3"/>
  </w:num>
  <w:num w:numId="39" w16cid:durableId="1238595582">
    <w:abstractNumId w:val="28"/>
  </w:num>
  <w:num w:numId="40" w16cid:durableId="416558262">
    <w:abstractNumId w:val="25"/>
  </w:num>
  <w:num w:numId="41" w16cid:durableId="1543715517">
    <w:abstractNumId w:val="22"/>
  </w:num>
  <w:num w:numId="42" w16cid:durableId="452208391">
    <w:abstractNumId w:val="18"/>
  </w:num>
  <w:num w:numId="43" w16cid:durableId="260340070">
    <w:abstractNumId w:val="0"/>
  </w:num>
  <w:num w:numId="44" w16cid:durableId="1639914969">
    <w:abstractNumId w:val="6"/>
  </w:num>
  <w:num w:numId="45" w16cid:durableId="1554191892">
    <w:abstractNumId w:val="46"/>
  </w:num>
  <w:num w:numId="46" w16cid:durableId="947811845">
    <w:abstractNumId w:val="53"/>
  </w:num>
  <w:num w:numId="47" w16cid:durableId="342588554">
    <w:abstractNumId w:val="29"/>
  </w:num>
  <w:num w:numId="48" w16cid:durableId="318391343">
    <w:abstractNumId w:val="41"/>
  </w:num>
  <w:num w:numId="49" w16cid:durableId="1857694439">
    <w:abstractNumId w:val="35"/>
  </w:num>
  <w:num w:numId="50" w16cid:durableId="857235776">
    <w:abstractNumId w:val="14"/>
  </w:num>
  <w:num w:numId="51" w16cid:durableId="412312082">
    <w:abstractNumId w:val="15"/>
  </w:num>
  <w:num w:numId="52" w16cid:durableId="1278299045">
    <w:abstractNumId w:val="45"/>
  </w:num>
  <w:num w:numId="53" w16cid:durableId="179515128">
    <w:abstractNumId w:val="1"/>
  </w:num>
  <w:num w:numId="54" w16cid:durableId="1936328153">
    <w:abstractNumId w:val="51"/>
  </w:num>
  <w:num w:numId="55" w16cid:durableId="266353124">
    <w:abstractNumId w:val="11"/>
  </w:num>
  <w:num w:numId="56" w16cid:durableId="174345380">
    <w:abstractNumId w:val="5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93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AA4"/>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1D2"/>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DB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0A26"/>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3CCD"/>
    <w:rsid w:val="00284ADD"/>
    <w:rsid w:val="00285DA7"/>
    <w:rsid w:val="00286683"/>
    <w:rsid w:val="00286FE0"/>
    <w:rsid w:val="002878A1"/>
    <w:rsid w:val="002912CD"/>
    <w:rsid w:val="00291676"/>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1CBF"/>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2F9"/>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10C3"/>
    <w:rsid w:val="003B3C0F"/>
    <w:rsid w:val="003B4DD6"/>
    <w:rsid w:val="003B4F81"/>
    <w:rsid w:val="003B539A"/>
    <w:rsid w:val="003B5B6C"/>
    <w:rsid w:val="003B66F6"/>
    <w:rsid w:val="003B7854"/>
    <w:rsid w:val="003C16DA"/>
    <w:rsid w:val="003C5BA2"/>
    <w:rsid w:val="003C795A"/>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581"/>
    <w:rsid w:val="00470D19"/>
    <w:rsid w:val="004711F3"/>
    <w:rsid w:val="00473D86"/>
    <w:rsid w:val="00474855"/>
    <w:rsid w:val="004768DF"/>
    <w:rsid w:val="00480247"/>
    <w:rsid w:val="0048260B"/>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7EE"/>
    <w:rsid w:val="004C52F0"/>
    <w:rsid w:val="004C6739"/>
    <w:rsid w:val="004C70AC"/>
    <w:rsid w:val="004D2730"/>
    <w:rsid w:val="004D3416"/>
    <w:rsid w:val="004D5810"/>
    <w:rsid w:val="004D6484"/>
    <w:rsid w:val="004D7C53"/>
    <w:rsid w:val="004E4F56"/>
    <w:rsid w:val="004E51B5"/>
    <w:rsid w:val="004F0BCF"/>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324"/>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0CC"/>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2E4"/>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1B"/>
    <w:rsid w:val="006D43AA"/>
    <w:rsid w:val="006D4C70"/>
    <w:rsid w:val="006D5605"/>
    <w:rsid w:val="006E114C"/>
    <w:rsid w:val="006E18FD"/>
    <w:rsid w:val="006E23C1"/>
    <w:rsid w:val="006E43A6"/>
    <w:rsid w:val="006E5C5F"/>
    <w:rsid w:val="006E5EE5"/>
    <w:rsid w:val="006E6129"/>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536"/>
    <w:rsid w:val="00732D3A"/>
    <w:rsid w:val="007335CD"/>
    <w:rsid w:val="00733903"/>
    <w:rsid w:val="00733D39"/>
    <w:rsid w:val="00735A3B"/>
    <w:rsid w:val="00736C62"/>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626"/>
    <w:rsid w:val="00777550"/>
    <w:rsid w:val="00777BF4"/>
    <w:rsid w:val="00777E1D"/>
    <w:rsid w:val="007802C6"/>
    <w:rsid w:val="007807DE"/>
    <w:rsid w:val="00782ABB"/>
    <w:rsid w:val="00782B03"/>
    <w:rsid w:val="00783F69"/>
    <w:rsid w:val="0078610D"/>
    <w:rsid w:val="00786312"/>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1737"/>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6E0"/>
    <w:rsid w:val="00853253"/>
    <w:rsid w:val="00854B57"/>
    <w:rsid w:val="00854CE2"/>
    <w:rsid w:val="0085591B"/>
    <w:rsid w:val="008569FA"/>
    <w:rsid w:val="008577E3"/>
    <w:rsid w:val="00860CA9"/>
    <w:rsid w:val="00861D43"/>
    <w:rsid w:val="00862AB1"/>
    <w:rsid w:val="00862EB9"/>
    <w:rsid w:val="008642FE"/>
    <w:rsid w:val="0086504A"/>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6832"/>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729"/>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6CB3"/>
    <w:rsid w:val="009370E9"/>
    <w:rsid w:val="00937D9B"/>
    <w:rsid w:val="00940E65"/>
    <w:rsid w:val="0094115B"/>
    <w:rsid w:val="0094570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5B3"/>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6E2B"/>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5F8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C77"/>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60AA"/>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5C7"/>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428"/>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53"/>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3E7"/>
    <w:rsid w:val="00C56D45"/>
    <w:rsid w:val="00C57511"/>
    <w:rsid w:val="00C60438"/>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A29"/>
    <w:rsid w:val="00CA5087"/>
    <w:rsid w:val="00CA58EE"/>
    <w:rsid w:val="00CA7EEF"/>
    <w:rsid w:val="00CB1649"/>
    <w:rsid w:val="00CB179D"/>
    <w:rsid w:val="00CB3E5E"/>
    <w:rsid w:val="00CB4EBD"/>
    <w:rsid w:val="00CB6338"/>
    <w:rsid w:val="00CB76AA"/>
    <w:rsid w:val="00CB790E"/>
    <w:rsid w:val="00CC1407"/>
    <w:rsid w:val="00CC429E"/>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4E1"/>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343"/>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6963"/>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34"/>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6688"/>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34D"/>
    <w:rsid w:val="00F704D9"/>
    <w:rsid w:val="00F70A0D"/>
    <w:rsid w:val="00F74037"/>
    <w:rsid w:val="00F7455B"/>
    <w:rsid w:val="00F746AC"/>
    <w:rsid w:val="00F74B9D"/>
    <w:rsid w:val="00F75058"/>
    <w:rsid w:val="00F75726"/>
    <w:rsid w:val="00F7660F"/>
    <w:rsid w:val="00F768AD"/>
    <w:rsid w:val="00F76B75"/>
    <w:rsid w:val="00F774EE"/>
    <w:rsid w:val="00F77EB8"/>
    <w:rsid w:val="00F82A02"/>
    <w:rsid w:val="00F8493A"/>
    <w:rsid w:val="00F86AAC"/>
    <w:rsid w:val="00F86D14"/>
    <w:rsid w:val="00F87716"/>
    <w:rsid w:val="00F87E26"/>
    <w:rsid w:val="00F909A2"/>
    <w:rsid w:val="00F90B02"/>
    <w:rsid w:val="00F921FF"/>
    <w:rsid w:val="00F93D8D"/>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4369"/>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customStyle="1" w:styleId="ng-star-inserted">
    <w:name w:val="ng-star-inserted"/>
    <w:basedOn w:val="DefaultParagraphFont"/>
    <w:rsid w:val="00736C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0438827">
      <w:bodyDiv w:val="1"/>
      <w:marLeft w:val="0"/>
      <w:marRight w:val="0"/>
      <w:marTop w:val="0"/>
      <w:marBottom w:val="0"/>
      <w:divBdr>
        <w:top w:val="none" w:sz="0" w:space="0" w:color="auto"/>
        <w:left w:val="none" w:sz="0" w:space="0" w:color="auto"/>
        <w:bottom w:val="none" w:sz="0" w:space="0" w:color="auto"/>
        <w:right w:val="none" w:sz="0" w:space="0" w:color="auto"/>
      </w:divBdr>
      <w:divsChild>
        <w:div w:id="1769807110">
          <w:marLeft w:val="0"/>
          <w:marRight w:val="0"/>
          <w:marTop w:val="0"/>
          <w:marBottom w:val="0"/>
          <w:divBdr>
            <w:top w:val="none" w:sz="0" w:space="0" w:color="auto"/>
            <w:left w:val="none" w:sz="0" w:space="0" w:color="auto"/>
            <w:bottom w:val="none" w:sz="0" w:space="0" w:color="auto"/>
            <w:right w:val="none" w:sz="0" w:space="0" w:color="auto"/>
          </w:divBdr>
        </w:div>
        <w:div w:id="1864588029">
          <w:marLeft w:val="0"/>
          <w:marRight w:val="0"/>
          <w:marTop w:val="0"/>
          <w:marBottom w:val="0"/>
          <w:divBdr>
            <w:top w:val="none" w:sz="0" w:space="0" w:color="auto"/>
            <w:left w:val="none" w:sz="0" w:space="0" w:color="auto"/>
            <w:bottom w:val="none" w:sz="0" w:space="0" w:color="auto"/>
            <w:right w:val="none" w:sz="0" w:space="0" w:color="auto"/>
          </w:divBdr>
        </w:div>
        <w:div w:id="1106583695">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10617212">
      <w:bodyDiv w:val="1"/>
      <w:marLeft w:val="0"/>
      <w:marRight w:val="0"/>
      <w:marTop w:val="0"/>
      <w:marBottom w:val="0"/>
      <w:divBdr>
        <w:top w:val="none" w:sz="0" w:space="0" w:color="auto"/>
        <w:left w:val="none" w:sz="0" w:space="0" w:color="auto"/>
        <w:bottom w:val="none" w:sz="0" w:space="0" w:color="auto"/>
        <w:right w:val="none" w:sz="0" w:space="0" w:color="auto"/>
      </w:divBdr>
      <w:divsChild>
        <w:div w:id="1169910143">
          <w:marLeft w:val="0"/>
          <w:marRight w:val="0"/>
          <w:marTop w:val="0"/>
          <w:marBottom w:val="0"/>
          <w:divBdr>
            <w:top w:val="none" w:sz="0" w:space="0" w:color="auto"/>
            <w:left w:val="none" w:sz="0" w:space="0" w:color="auto"/>
            <w:bottom w:val="none" w:sz="0" w:space="0" w:color="auto"/>
            <w:right w:val="none" w:sz="0" w:space="0" w:color="auto"/>
          </w:divBdr>
        </w:div>
        <w:div w:id="1205601445">
          <w:marLeft w:val="0"/>
          <w:marRight w:val="0"/>
          <w:marTop w:val="0"/>
          <w:marBottom w:val="0"/>
          <w:divBdr>
            <w:top w:val="none" w:sz="0" w:space="0" w:color="auto"/>
            <w:left w:val="none" w:sz="0" w:space="0" w:color="auto"/>
            <w:bottom w:val="none" w:sz="0" w:space="0" w:color="auto"/>
            <w:right w:val="none" w:sz="0" w:space="0" w:color="auto"/>
          </w:divBdr>
        </w:div>
        <w:div w:id="1212696659">
          <w:marLeft w:val="0"/>
          <w:marRight w:val="0"/>
          <w:marTop w:val="0"/>
          <w:marBottom w:val="0"/>
          <w:divBdr>
            <w:top w:val="none" w:sz="0" w:space="0" w:color="auto"/>
            <w:left w:val="none" w:sz="0" w:space="0" w:color="auto"/>
            <w:bottom w:val="none" w:sz="0" w:space="0" w:color="auto"/>
            <w:right w:val="none" w:sz="0" w:space="0" w:color="auto"/>
          </w:divBdr>
        </w:div>
        <w:div w:id="832834985">
          <w:marLeft w:val="0"/>
          <w:marRight w:val="0"/>
          <w:marTop w:val="0"/>
          <w:marBottom w:val="0"/>
          <w:divBdr>
            <w:top w:val="none" w:sz="0" w:space="0" w:color="auto"/>
            <w:left w:val="none" w:sz="0" w:space="0" w:color="auto"/>
            <w:bottom w:val="none" w:sz="0" w:space="0" w:color="auto"/>
            <w:right w:val="none" w:sz="0" w:space="0" w:color="auto"/>
          </w:divBdr>
        </w:div>
        <w:div w:id="548996691">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902334">
      <w:bodyDiv w:val="1"/>
      <w:marLeft w:val="0"/>
      <w:marRight w:val="0"/>
      <w:marTop w:val="0"/>
      <w:marBottom w:val="0"/>
      <w:divBdr>
        <w:top w:val="none" w:sz="0" w:space="0" w:color="auto"/>
        <w:left w:val="none" w:sz="0" w:space="0" w:color="auto"/>
        <w:bottom w:val="none" w:sz="0" w:space="0" w:color="auto"/>
        <w:right w:val="none" w:sz="0" w:space="0" w:color="auto"/>
      </w:divBdr>
      <w:divsChild>
        <w:div w:id="1425035228">
          <w:marLeft w:val="0"/>
          <w:marRight w:val="0"/>
          <w:marTop w:val="0"/>
          <w:marBottom w:val="0"/>
          <w:divBdr>
            <w:top w:val="none" w:sz="0" w:space="0" w:color="auto"/>
            <w:left w:val="none" w:sz="0" w:space="0" w:color="auto"/>
            <w:bottom w:val="none" w:sz="0" w:space="0" w:color="auto"/>
            <w:right w:val="none" w:sz="0" w:space="0" w:color="auto"/>
          </w:divBdr>
        </w:div>
        <w:div w:id="1548758370">
          <w:marLeft w:val="0"/>
          <w:marRight w:val="0"/>
          <w:marTop w:val="0"/>
          <w:marBottom w:val="0"/>
          <w:divBdr>
            <w:top w:val="none" w:sz="0" w:space="0" w:color="auto"/>
            <w:left w:val="none" w:sz="0" w:space="0" w:color="auto"/>
            <w:bottom w:val="none" w:sz="0" w:space="0" w:color="auto"/>
            <w:right w:val="none" w:sz="0" w:space="0" w:color="auto"/>
          </w:divBdr>
        </w:div>
        <w:div w:id="301425779">
          <w:marLeft w:val="0"/>
          <w:marRight w:val="0"/>
          <w:marTop w:val="0"/>
          <w:marBottom w:val="0"/>
          <w:divBdr>
            <w:top w:val="none" w:sz="0" w:space="0" w:color="auto"/>
            <w:left w:val="none" w:sz="0" w:space="0" w:color="auto"/>
            <w:bottom w:val="none" w:sz="0" w:space="0" w:color="auto"/>
            <w:right w:val="none" w:sz="0" w:space="0" w:color="auto"/>
          </w:divBdr>
        </w:div>
      </w:divsChild>
    </w:div>
    <w:div w:id="956643173">
      <w:bodyDiv w:val="1"/>
      <w:marLeft w:val="0"/>
      <w:marRight w:val="0"/>
      <w:marTop w:val="0"/>
      <w:marBottom w:val="0"/>
      <w:divBdr>
        <w:top w:val="none" w:sz="0" w:space="0" w:color="auto"/>
        <w:left w:val="none" w:sz="0" w:space="0" w:color="auto"/>
        <w:bottom w:val="none" w:sz="0" w:space="0" w:color="auto"/>
        <w:right w:val="none" w:sz="0" w:space="0" w:color="auto"/>
      </w:divBdr>
      <w:divsChild>
        <w:div w:id="677120173">
          <w:marLeft w:val="0"/>
          <w:marRight w:val="0"/>
          <w:marTop w:val="0"/>
          <w:marBottom w:val="0"/>
          <w:divBdr>
            <w:top w:val="none" w:sz="0" w:space="0" w:color="auto"/>
            <w:left w:val="none" w:sz="0" w:space="0" w:color="auto"/>
            <w:bottom w:val="none" w:sz="0" w:space="0" w:color="auto"/>
            <w:right w:val="none" w:sz="0" w:space="0" w:color="auto"/>
          </w:divBdr>
        </w:div>
        <w:div w:id="1549144789">
          <w:marLeft w:val="0"/>
          <w:marRight w:val="0"/>
          <w:marTop w:val="0"/>
          <w:marBottom w:val="0"/>
          <w:divBdr>
            <w:top w:val="none" w:sz="0" w:space="0" w:color="auto"/>
            <w:left w:val="none" w:sz="0" w:space="0" w:color="auto"/>
            <w:bottom w:val="none" w:sz="0" w:space="0" w:color="auto"/>
            <w:right w:val="none" w:sz="0" w:space="0" w:color="auto"/>
          </w:divBdr>
        </w:div>
        <w:div w:id="2068215026">
          <w:marLeft w:val="0"/>
          <w:marRight w:val="0"/>
          <w:marTop w:val="0"/>
          <w:marBottom w:val="0"/>
          <w:divBdr>
            <w:top w:val="none" w:sz="0" w:space="0" w:color="auto"/>
            <w:left w:val="none" w:sz="0" w:space="0" w:color="auto"/>
            <w:bottom w:val="none" w:sz="0" w:space="0" w:color="auto"/>
            <w:right w:val="none" w:sz="0" w:space="0" w:color="auto"/>
          </w:divBdr>
        </w:div>
        <w:div w:id="167520974">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570123">
      <w:bodyDiv w:val="1"/>
      <w:marLeft w:val="0"/>
      <w:marRight w:val="0"/>
      <w:marTop w:val="0"/>
      <w:marBottom w:val="0"/>
      <w:divBdr>
        <w:top w:val="none" w:sz="0" w:space="0" w:color="auto"/>
        <w:left w:val="none" w:sz="0" w:space="0" w:color="auto"/>
        <w:bottom w:val="none" w:sz="0" w:space="0" w:color="auto"/>
        <w:right w:val="none" w:sz="0" w:space="0" w:color="auto"/>
      </w:divBdr>
      <w:divsChild>
        <w:div w:id="310914231">
          <w:marLeft w:val="0"/>
          <w:marRight w:val="0"/>
          <w:marTop w:val="0"/>
          <w:marBottom w:val="0"/>
          <w:divBdr>
            <w:top w:val="none" w:sz="0" w:space="0" w:color="auto"/>
            <w:left w:val="none" w:sz="0" w:space="0" w:color="auto"/>
            <w:bottom w:val="none" w:sz="0" w:space="0" w:color="auto"/>
            <w:right w:val="none" w:sz="0" w:space="0" w:color="auto"/>
          </w:divBdr>
        </w:div>
        <w:div w:id="2111118917">
          <w:marLeft w:val="0"/>
          <w:marRight w:val="0"/>
          <w:marTop w:val="0"/>
          <w:marBottom w:val="0"/>
          <w:divBdr>
            <w:top w:val="none" w:sz="0" w:space="0" w:color="auto"/>
            <w:left w:val="none" w:sz="0" w:space="0" w:color="auto"/>
            <w:bottom w:val="none" w:sz="0" w:space="0" w:color="auto"/>
            <w:right w:val="none" w:sz="0" w:space="0" w:color="auto"/>
          </w:divBdr>
        </w:div>
      </w:divsChild>
    </w:div>
    <w:div w:id="1804276228">
      <w:bodyDiv w:val="1"/>
      <w:marLeft w:val="0"/>
      <w:marRight w:val="0"/>
      <w:marTop w:val="0"/>
      <w:marBottom w:val="0"/>
      <w:divBdr>
        <w:top w:val="none" w:sz="0" w:space="0" w:color="auto"/>
        <w:left w:val="none" w:sz="0" w:space="0" w:color="auto"/>
        <w:bottom w:val="none" w:sz="0" w:space="0" w:color="auto"/>
        <w:right w:val="none" w:sz="0" w:space="0" w:color="auto"/>
      </w:divBdr>
      <w:divsChild>
        <w:div w:id="11927745">
          <w:marLeft w:val="0"/>
          <w:marRight w:val="0"/>
          <w:marTop w:val="0"/>
          <w:marBottom w:val="0"/>
          <w:divBdr>
            <w:top w:val="none" w:sz="0" w:space="0" w:color="auto"/>
            <w:left w:val="none" w:sz="0" w:space="0" w:color="auto"/>
            <w:bottom w:val="none" w:sz="0" w:space="0" w:color="auto"/>
            <w:right w:val="none" w:sz="0" w:space="0" w:color="auto"/>
          </w:divBdr>
        </w:div>
        <w:div w:id="1816293810">
          <w:marLeft w:val="0"/>
          <w:marRight w:val="0"/>
          <w:marTop w:val="0"/>
          <w:marBottom w:val="0"/>
          <w:divBdr>
            <w:top w:val="none" w:sz="0" w:space="0" w:color="auto"/>
            <w:left w:val="none" w:sz="0" w:space="0" w:color="auto"/>
            <w:bottom w:val="none" w:sz="0" w:space="0" w:color="auto"/>
            <w:right w:val="none" w:sz="0" w:space="0" w:color="auto"/>
          </w:divBdr>
        </w:div>
        <w:div w:id="1729454971">
          <w:marLeft w:val="0"/>
          <w:marRight w:val="0"/>
          <w:marTop w:val="0"/>
          <w:marBottom w:val="0"/>
          <w:divBdr>
            <w:top w:val="none" w:sz="0" w:space="0" w:color="auto"/>
            <w:left w:val="none" w:sz="0" w:space="0" w:color="auto"/>
            <w:bottom w:val="none" w:sz="0" w:space="0" w:color="auto"/>
            <w:right w:val="none" w:sz="0" w:space="0" w:color="auto"/>
          </w:divBdr>
        </w:div>
        <w:div w:id="477377447">
          <w:marLeft w:val="0"/>
          <w:marRight w:val="0"/>
          <w:marTop w:val="0"/>
          <w:marBottom w:val="0"/>
          <w:divBdr>
            <w:top w:val="none" w:sz="0" w:space="0" w:color="auto"/>
            <w:left w:val="none" w:sz="0" w:space="0" w:color="auto"/>
            <w:bottom w:val="none" w:sz="0" w:space="0" w:color="auto"/>
            <w:right w:val="none" w:sz="0" w:space="0" w:color="auto"/>
          </w:divBdr>
        </w:div>
        <w:div w:id="589436535">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3105824/https:/www.rbi.org.in/Scripts/BS_ViewMasDirections.aspx?id=10296" TargetMode="External"/><Relationship Id="rId26" Type="http://schemas.openxmlformats.org/officeDocument/2006/relationships/hyperlink" Target="https://web.archive.org/web/20250723094210/https:/rbi.org.in/scripts/BS_ViewMasDirections.aspx?id=12825" TargetMode="External"/><Relationship Id="rId3" Type="http://schemas.openxmlformats.org/officeDocument/2006/relationships/customXml" Target="../customXml/item3.xml"/><Relationship Id="rId21" Type="http://schemas.openxmlformats.org/officeDocument/2006/relationships/hyperlink" Target="https://web.archive.org/web/20250723101350/https:/rbi.org.in/scripts/BS_ViewMasDirections.aspx?id=12030"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web.archive.org/web/20250723110851/https:/rbi.org.in/Scripts/NotificationUser.aspx?Id=12487&amp;Mode=0"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3154028/https:/rbi.org.in/Scripts/BS_ViewMasDirections.aspx?id=10563"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24174035/https:/canarabank.com/UploadedFiles/Pdf/Green%20Deposit%20Policy-300724.pdf" TargetMode="External"/><Relationship Id="rId28" Type="http://schemas.openxmlformats.org/officeDocument/2006/relationships/hyperlink" Target="https://web.archive.org/web/20250723101350/https:/rbi.org.in/scripts/BS_ViewMasDirections.aspx?id=12030" TargetMode="External"/><Relationship Id="rId10" Type="http://schemas.openxmlformats.org/officeDocument/2006/relationships/endnotes" Target="endnotes.xml"/><Relationship Id="rId19" Type="http://schemas.openxmlformats.org/officeDocument/2006/relationships/hyperlink" Target="https://web.archive.org/web/20250723094210/https:/rbi.org.in/scripts/BS_ViewMasDirections.aspx?id=12825"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04140740/https:/static.pib.gov.in/WriteReadData/specificdocs/documents/2025/may/doc202557551101.pdf" TargetMode="External"/><Relationship Id="rId27" Type="http://schemas.openxmlformats.org/officeDocument/2006/relationships/hyperlink" Target="https://web.archive.org/web/20250723095712/https:/rbi.org.in/scripts/BS_ViewMasDirections.aspx?id=10563" TargetMode="Externa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229</TotalTime>
  <Pages>114</Pages>
  <Words>23801</Words>
  <Characters>137334</Characters>
  <Application>Microsoft Office Word</Application>
  <DocSecurity>0</DocSecurity>
  <Lines>2746</Lines>
  <Paragraphs>988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47</cp:revision>
  <cp:lastPrinted>2025-07-21T09:59:00Z</cp:lastPrinted>
  <dcterms:created xsi:type="dcterms:W3CDTF">2025-06-23T10:34:00Z</dcterms:created>
  <dcterms:modified xsi:type="dcterms:W3CDTF">2025-07-24T17:49:00Z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